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Appendix: Supplementary municipality exclusions and robustness analyses</w:t>
      </w:r>
    </w:p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bottom w:val="single" w:sz="8"/>
            </w:tcBorders>
          </w:tcPr>
          <w:p>
            <w:r>
              <w:t>Prefecture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r>
              <w:t>Municipality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r>
              <w:t>Reason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r>
              <w:t>Years missing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Hachimantai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Oshu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Takizawa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Nishiwaga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Hirono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Aoba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Miyagino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Wakabayashi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Taihaku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Izumi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Shiogama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Tome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Kurihara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Higashimatsushima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Osaki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Tomiya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Shichikashuku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Shichigahama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Misato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Minamisanriku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Yamagata</w:t>
            </w:r>
          </w:p>
        </w:tc>
        <w:tc>
          <w:tcPr>
            <w:tcW w:type="dxa" w:w="2412"/>
          </w:tcPr>
          <w:p>
            <w:r>
              <w:t>Shonai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Fukushima</w:t>
            </w:r>
          </w:p>
        </w:tc>
        <w:tc>
          <w:tcPr>
            <w:tcW w:type="dxa" w:w="2412"/>
          </w:tcPr>
          <w:p>
            <w:r>
              <w:t>Motomiya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Kasumigaura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Sakuragawa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Kamisu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Namegata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Hokota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Tsukubamirai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Omitama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Nasukarasuyama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Shimotsuke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Nakagawa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Midori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Higashiazuma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Minakami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Kita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Higashi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Chuo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Konan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Akiha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Minami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Nishikan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Myoko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Tainai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Seiro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Borders>
              <w:bottom w:val="single" w:sz="8"/>
            </w:tcBorders>
          </w:tcPr>
          <w:p>
            <w:r>
              <w:t>Municipality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r>
              <w:t>Donors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r>
              <w:t>Pre-RMSPE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r>
              <w:t>Post-RMSPE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r>
              <w:t>Mean gap 2012-2019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r>
              <w:t>Permutation p</w:t>
            </w:r>
          </w:p>
        </w:tc>
      </w:tr>
      <w:tr>
        <w:tc>
          <w:tcPr>
            <w:tcW w:type="dxa" w:w="1608"/>
          </w:tcPr>
          <w:p>
            <w:r>
              <w:t>Minamisoma</w:t>
            </w:r>
          </w:p>
        </w:tc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0.0293004359789378</w:t>
            </w:r>
          </w:p>
        </w:tc>
        <w:tc>
          <w:tcPr>
            <w:tcW w:type="dxa" w:w="1608"/>
          </w:tcPr>
          <w:p>
            <w:r>
              <w:t>0.1839369029359153</w:t>
            </w:r>
          </w:p>
        </w:tc>
        <w:tc>
          <w:tcPr>
            <w:tcW w:type="dxa" w:w="1608"/>
          </w:tcPr>
          <w:p>
            <w:r>
              <w:t>-0.0106632202853943</w:t>
            </w:r>
          </w:p>
        </w:tc>
        <w:tc>
          <w:tcPr>
            <w:tcW w:type="dxa" w:w="1608"/>
          </w:tcPr>
          <w:p>
            <w:r>
              <w:t>0.25</w:t>
            </w:r>
          </w:p>
        </w:tc>
      </w:tr>
      <w:tr>
        <w:tc>
          <w:tcPr>
            <w:tcW w:type="dxa" w:w="1608"/>
          </w:tcPr>
          <w:p>
            <w:r>
              <w:t>Kawamata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0.0097976486915868</w:t>
            </w:r>
          </w:p>
        </w:tc>
        <w:tc>
          <w:tcPr>
            <w:tcW w:type="dxa" w:w="1608"/>
          </w:tcPr>
          <w:p>
            <w:r>
              <w:t>0.0816468760361608</w:t>
            </w:r>
          </w:p>
        </w:tc>
        <w:tc>
          <w:tcPr>
            <w:tcW w:type="dxa" w:w="1608"/>
          </w:tcPr>
          <w:p>
            <w:r>
              <w:t>0.0551197222469218</w:t>
            </w:r>
          </w:p>
        </w:tc>
        <w:tc>
          <w:tcPr>
            <w:tcW w:type="dxa" w:w="1608"/>
          </w:tcPr>
          <w:p>
            <w:r>
              <w:t>0.3333333333333333</w:t>
            </w:r>
          </w:p>
        </w:tc>
      </w:tr>
      <w:tr>
        <w:tc>
          <w:tcPr>
            <w:tcW w:type="dxa" w:w="1608"/>
          </w:tcPr>
          <w:p>
            <w:r>
              <w:t>Naraha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0.0884818531208004</w:t>
            </w:r>
          </w:p>
        </w:tc>
        <w:tc>
          <w:tcPr>
            <w:tcW w:type="dxa" w:w="1608"/>
          </w:tcPr>
          <w:p>
            <w:r>
              <w:t>0.2043826907729224</w:t>
            </w:r>
          </w:p>
        </w:tc>
        <w:tc>
          <w:tcPr>
            <w:tcW w:type="dxa" w:w="1608"/>
          </w:tcPr>
          <w:p>
            <w:r>
              <w:t>-0.1279509738692234</w:t>
            </w:r>
          </w:p>
        </w:tc>
        <w:tc>
          <w:tcPr>
            <w:tcW w:type="dxa" w:w="1608"/>
          </w:tcPr>
          <w:p>
            <w:r>
              <w:t>0.7142857142857143</w:t>
            </w:r>
          </w:p>
        </w:tc>
      </w:tr>
      <w:tr>
        <w:tc>
          <w:tcPr>
            <w:tcW w:type="dxa" w:w="1608"/>
          </w:tcPr>
          <w:p>
            <w:r>
              <w:t>Tomioka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0.0593407198568021</w:t>
            </w:r>
          </w:p>
        </w:tc>
        <w:tc>
          <w:tcPr>
            <w:tcW w:type="dxa" w:w="1608"/>
          </w:tcPr>
          <w:p>
            <w:r>
              <w:t>0.1644916020423305</w:t>
            </w:r>
          </w:p>
        </w:tc>
        <w:tc>
          <w:tcPr>
            <w:tcW w:type="dxa" w:w="1608"/>
          </w:tcPr>
          <w:p>
            <w:r>
              <w:t>-0.1516691449521056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Kawauchi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0.0444060903046119</w:t>
            </w:r>
          </w:p>
        </w:tc>
        <w:tc>
          <w:tcPr>
            <w:tcW w:type="dxa" w:w="1608"/>
          </w:tcPr>
          <w:p>
            <w:r>
              <w:t>0.148073524583365</w:t>
            </w:r>
          </w:p>
        </w:tc>
        <w:tc>
          <w:tcPr>
            <w:tcW w:type="dxa" w:w="1608"/>
          </w:tcPr>
          <w:p>
            <w:r>
              <w:t>0.0831437141637636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Okuma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0.1444174894492124</w:t>
            </w:r>
          </w:p>
        </w:tc>
        <w:tc>
          <w:tcPr>
            <w:tcW w:type="dxa" w:w="1608"/>
          </w:tcPr>
          <w:p>
            <w:r>
              <w:t>0.3036511289006508</w:t>
            </w:r>
          </w:p>
        </w:tc>
        <w:tc>
          <w:tcPr>
            <w:tcW w:type="dxa" w:w="1608"/>
          </w:tcPr>
          <w:p>
            <w:r>
              <w:t>-0.2680255705173741</w:t>
            </w:r>
          </w:p>
        </w:tc>
        <w:tc>
          <w:tcPr>
            <w:tcW w:type="dxa" w:w="1608"/>
          </w:tcPr>
          <w:p>
            <w:r>
              <w:t>0.5625</w:t>
            </w:r>
          </w:p>
        </w:tc>
      </w:tr>
      <w:tr>
        <w:tc>
          <w:tcPr>
            <w:tcW w:type="dxa" w:w="1608"/>
          </w:tcPr>
          <w:p>
            <w:r>
              <w:t>Futaba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0.0489068465462831</w:t>
            </w:r>
          </w:p>
        </w:tc>
        <w:tc>
          <w:tcPr>
            <w:tcW w:type="dxa" w:w="1608"/>
          </w:tcPr>
          <w:p>
            <w:r>
              <w:t>0.2571351506549926</w:t>
            </w:r>
          </w:p>
        </w:tc>
        <w:tc>
          <w:tcPr>
            <w:tcW w:type="dxa" w:w="1608"/>
          </w:tcPr>
          <w:p>
            <w:r>
              <w:t>-0.1909625137928648</w:t>
            </w:r>
          </w:p>
        </w:tc>
        <w:tc>
          <w:tcPr>
            <w:tcW w:type="dxa" w:w="1608"/>
          </w:tcPr>
          <w:p>
            <w:r>
              <w:t>0.2857142857142857</w:t>
            </w:r>
          </w:p>
        </w:tc>
      </w:tr>
      <w:tr>
        <w:tc>
          <w:tcPr>
            <w:tcW w:type="dxa" w:w="1608"/>
          </w:tcPr>
          <w:p>
            <w:r>
              <w:t>Namie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0.004382533378559</w:t>
            </w:r>
          </w:p>
        </w:tc>
        <w:tc>
          <w:tcPr>
            <w:tcW w:type="dxa" w:w="1608"/>
          </w:tcPr>
          <w:p>
            <w:r>
              <w:t>0.1800522917924872</w:t>
            </w:r>
          </w:p>
        </w:tc>
        <w:tc>
          <w:tcPr>
            <w:tcW w:type="dxa" w:w="1608"/>
          </w:tcPr>
          <w:p>
            <w:r>
              <w:t>-0.098411662199711</w:t>
            </w:r>
          </w:p>
        </w:tc>
        <w:tc>
          <w:tcPr>
            <w:tcW w:type="dxa" w:w="1608"/>
          </w:tcPr>
          <w:p>
            <w:r>
              <w:t>0.2631578947368421</w:t>
            </w:r>
          </w:p>
        </w:tc>
      </w:tr>
      <w:tr>
        <w:tc>
          <w:tcPr>
            <w:tcW w:type="dxa" w:w="1608"/>
          </w:tcPr>
          <w:p>
            <w:r>
              <w:t>Katsurao</w:t>
            </w:r>
          </w:p>
        </w:tc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0.1826943753700668</w:t>
            </w:r>
          </w:p>
        </w:tc>
        <w:tc>
          <w:tcPr>
            <w:tcW w:type="dxa" w:w="1608"/>
          </w:tcPr>
          <w:p>
            <w:r>
              <w:t>0.2488059139201824</w:t>
            </w:r>
          </w:p>
        </w:tc>
        <w:tc>
          <w:tcPr>
            <w:tcW w:type="dxa" w:w="1608"/>
          </w:tcPr>
          <w:p>
            <w:r>
              <w:t>-0.1367370317019828</w:t>
            </w:r>
          </w:p>
        </w:tc>
        <w:tc>
          <w:tcPr>
            <w:tcW w:type="dxa" w:w="1608"/>
          </w:tcPr>
          <w:p>
            <w:r>
              <w:t>0.8333333333333334</w:t>
            </w:r>
          </w:p>
        </w:tc>
      </w:tr>
      <w:tr>
        <w:tc>
          <w:tcPr>
            <w:tcW w:type="dxa" w:w="1608"/>
          </w:tcPr>
          <w:p>
            <w:r>
              <w:t>Iitate</w:t>
            </w:r>
          </w:p>
        </w:tc>
        <w:tc>
          <w:tcPr>
            <w:tcW w:type="dxa" w:w="1608"/>
          </w:tcPr>
          <w:p>
            <w:r>
              <w:t>22</w:t>
            </w:r>
          </w:p>
        </w:tc>
        <w:tc>
          <w:tcPr>
            <w:tcW w:type="dxa" w:w="1608"/>
          </w:tcPr>
          <w:p>
            <w:r>
              <w:t>0.0168998085544957</w:t>
            </w:r>
          </w:p>
        </w:tc>
        <w:tc>
          <w:tcPr>
            <w:tcW w:type="dxa" w:w="1608"/>
          </w:tcPr>
          <w:p>
            <w:r>
              <w:t>0.1182144350993184</w:t>
            </w:r>
          </w:p>
        </w:tc>
        <w:tc>
          <w:tcPr>
            <w:tcW w:type="dxa" w:w="1608"/>
          </w:tcPr>
          <w:p>
            <w:r>
              <w:t>-0.0265778280351051</w:t>
            </w:r>
          </w:p>
        </w:tc>
        <w:tc>
          <w:tcPr>
            <w:tcW w:type="dxa" w:w="1608"/>
          </w:tcPr>
          <w:p>
            <w:r>
              <w:t>0.3043478260869565</w:t>
            </w:r>
          </w:p>
        </w:tc>
      </w:tr>
    </w:tbl>
    <w:p>
      <w:pPr>
        <w:pStyle w:val="Caption"/>
      </w:pPr>
      <w:r>
        <w:t>Appendix Figure A1. Kansas neighboring-state difference-in-differences event studies for real GDP per capita, employment, total tax revenue, and individual income-tax revenue. Coefficients are relative to 2012; bars are 95% confidence intervals.</w:t>
      </w:r>
    </w:p>
    <w:p>
      <w:r>
        <w:drawing>
          <wp:inline xmlns:a="http://schemas.openxmlformats.org/drawingml/2006/main" xmlns:pic="http://schemas.openxmlformats.org/drawingml/2006/picture">
            <wp:extent cx="5852160" cy="435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00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