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Editor-in-Chief,</w:t>
      </w:r>
    </w:p>
    <w:p>
      <w:r>
        <w:t>I submit the original research article, "When Policy Depends on a Curve: Comparing Functional-Form Dependence in Fukushima Evacuation and Kansas Tax Reform," for consideration in the Journal of Comparative Policy Analysis: Research and Practice. The article asks a comparative question: how does functional-form dependence - the condition in which a policy's justification rests on an empirical relationship shape that is insufficiently identified over the policy-relevant range - enter policy decisions under substantively different evidentiary, institutional, and consequence structures, and what can comparison across those structures teach us about policy appraisal under uncertainty?</w:t>
      </w:r>
    </w:p>
    <w:p>
      <w:r>
        <w:t>The analysis is built on a deliberate maximum-contrast comparison of two policies that share no sector, institution, or evidentiary tradition: the post-Fukushima evacuation under low-dose radiation-risk assumptions and the Kansas tax reform under a claimed fiscal response curve. The cases were selected because both expose the same decision-level mechanism - policy commitment depended on functional-form assumptions whose decision-relevant features were incompletely identified - while differing sharply in the location of uncertainty, consequence asymmetry, reversibility, and capacity for adaptive learning. Comparing them shows what a single-case study cannot: functional-form dependence alone does not dictate a policy response; its significance depends on the joint configuration of decision sensitivity, consequence asymmetry, reversibility, transportability, and learning capacity.</w:t>
      </w:r>
    </w:p>
    <w:p>
      <w:r>
        <w:t>The article contributes to comparative policy analysis in three ways: it conceptualizes functional-form dependence as a decision-level manifestation of model-form uncertainty; it identifies shared and context-dependent mechanisms through a structured focused comparison organized around common dimensions and a central comparative table; and it derives comparative propositions and lesson-drawing that distinguish what travels across policy domains from what remains context-bound. A purposive cross-domain mapping of 50 canonical relationships supplies background motivation, showing that the gap between association and decision-relevant shape is not unique to either case, while the comparison itself carries the article's contribution.</w:t>
      </w:r>
    </w:p>
    <w:p>
      <w:r>
        <w:t>The manuscript is original, is not under consideration elsewhere, and is prepared for double-anonymous review. All data are from public sources, a double-anonymous reviewer archive is included, reproducibility materials are available at https://github.com/bougtoir/canonical-curves-reexamination, and I declare no competing interests or external funding.</w:t>
      </w:r>
    </w:p>
    <w:p>
      <w:r>
        <w:t>Sincerely,</w:t>
        <w:br/>
        <w:t>Onishi Tatsuki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240" w:after="120"/>
    </w:pPr>
    <w:rPr>
      <w:rFonts w:ascii="Times New Roman" w:hAnsi="Times New Roman" w:eastAsia="Times New Roman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