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When Policy Depends on a Curve: Functional-Form Dependence in Evidence-Based Policymaking</w:t>
      </w:r>
    </w:p>
    <w:p>
      <w:r>
        <w:t>Tatsuki Onishi</w:t>
      </w:r>
    </w:p>
    <w:p>
      <w:r>
        <w:t>Data Science and AI Innovation Research Promotion Center, Shiga University</w:t>
      </w:r>
    </w:p>
    <w:p>
      <w:r>
        <w:t>Corresponding author: bougtoir@gmail.com</w:t>
      </w:r>
    </w:p>
    <w:p>
      <w:r>
        <w:t>Journal: Policy Studies</w:t>
      </w:r>
    </w:p>
    <w:p>
      <w:r>
        <w:t>Article type: Original research article</w:t>
      </w:r>
    </w:p>
    <w:p>
      <w:r>
        <w:t>Manuscript word count (all inclusive): 8,736</w:t>
      </w:r>
    </w:p>
    <w:p>
      <w:r>
        <w:t>Data and code: https://github.com/bougtoir/canonical-curves-reexamination</w:t>
      </w:r>
    </w:p>
    <w:p>
      <w:r>
        <w:t>Funding: No external funding.</w:t>
      </w:r>
    </w:p>
    <w:p>
      <w:r>
        <w:t>Competing interests: The author declares no competing interests.</w:t>
      </w:r>
    </w:p>
    <w:p>
      <w:r>
        <w:t>Artificial intelligence assistance. An AI coding assistant (Devin, Cognition AI) was used to assist with data-acquisition, analysis, and document-generation code and with manuscript drafting and editing under the author's direction. The author specified the research questions and analytical choices, verified the data sources and results, evaluated all interpretations, and takes full responsibility for the manuscript.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b w:val="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240" w:after="120"/>
    </w:pPr>
    <w:rPr>
      <w:rFonts w:ascii="Times New Roman" w:hAnsi="Times New Roman" w:eastAsia="Times New Roman"/>
      <w:b w:val="0"/>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