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supplement: additional analyses, robustness results, and exclusions</w:t>
      </w:r>
    </w:p>
    <w:p>
      <w:pPr>
        <w:pStyle w:val="Caption"/>
      </w:pPr>
      <w:r>
        <w:t>Supplement Figure S1. Diagnostic used in the cross-domain mapping exercise. Green paths continue toward robust nonlinear classification; orange paths indicate the first unmet criterion. Insufficient data is assigned when influence removal leaves too few observations for the nested comparison.</w:t>
      </w:r>
    </w:p>
    <w:p>
      <w:r>
        <w:drawing>
          <wp:inline xmlns:a="http://schemas.openxmlformats.org/drawingml/2006/main" xmlns:pic="http://schemas.openxmlformats.org/drawingml/2006/picture">
            <wp:extent cx="5852160" cy="6216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1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 Figure S3. Preferred T1 event-study estimates using unweighted Fukushima municipal controls. Points are year-specific coefficients relative to the omitted reference year; bars are 95% confidence intervals. The acute disaster year 2011 is shown but excluded from the 2012-2019 average-treatment-effect window.</w:t>
      </w:r>
    </w:p>
    <w:p>
      <w:r>
        <w:drawing>
          <wp:inline xmlns:a="http://schemas.openxmlformats.org/drawingml/2006/main" xmlns:pic="http://schemas.openxmlformats.org/drawingml/2006/picture">
            <wp:extent cx="5852160" cy="2516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 Figure S4. T1 acute-phase mortality decomposition for 2011. Expected deaths are projected from the pre-disaster municipal trend; direct disaster deaths are reported by Fukushima Prefecture; residual excess is the arithmetic difference and is not assigned to a single cause.</w:t>
      </w:r>
    </w:p>
    <w:p>
      <w:r>
        <w:drawing>
          <wp:inline xmlns:a="http://schemas.openxmlformats.org/drawingml/2006/main" xmlns:pic="http://schemas.openxmlformats.org/drawingml/2006/picture">
            <wp:extent cx="5852160" cy="3807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0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 Figure S2. Kansas neighbouring-state difference-in-differences event studies for real GDP per capita, employment, total tax revenue, and individual income-tax revenue. Coefficients are relative to 2012; bars are 95% confidence intervals.</w:t>
      </w:r>
    </w:p>
    <w:p>
      <w:r>
        <w:drawing>
          <wp:inline xmlns:a="http://schemas.openxmlformats.org/drawingml/2006/main" xmlns:pic="http://schemas.openxmlformats.org/drawingml/2006/picture">
            <wp:extent cx="5852160" cy="4350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 Table S3.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Controls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Weighting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Age control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ATT (log points)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Pre-trend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Implied deaths 2012-2019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-0.057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-877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-0.066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-1,018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-1,123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-1,109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0.847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-1,333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0.863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-1,291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0.314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0.275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-1,224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-0.116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0.170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-405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-451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0.581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-93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0.421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0.932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-146</w:t>
            </w:r>
          </w:p>
        </w:tc>
      </w:tr>
    </w:tbl>
    <w:p>
      <w:pPr>
        <w:pStyle w:val="Caption"/>
      </w:pPr>
      <w:r>
        <w:t>Supplement Table S4.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Quantity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Value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Scope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Type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Source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observed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2,996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expected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2,060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936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Of which direct disaster deaths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732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residual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implied difference 2012-2019 (recorded)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Certified disaster-related deaths, 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2,350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Reconstruction Agency, 2026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worldwide cancer deaths from the release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130 (15-1,100)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Evacuation-avoided radiological mortalities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28 (3-245)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Lifetime-risk relative increases in the 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 conclusion 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Collective effective dose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 / 36 / 48 thousand man-Sv (first year / ten years / lifetime)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Japanese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 conclusion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 expected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Exposed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</w:tbl>
    <w:p>
      <w:pPr>
        <w:pStyle w:val="Caption"/>
      </w:pPr>
      <w:r>
        <w:t>Supplement Table S5. Kansas synthetic-control estimates by outcome and donor pool. Mean gaps cover 2013-2017. Permutation p values compare Kansas with donor-state placebo gaps; LOO denotes leave-one-donor-out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Pool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Gap (%)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in-time placebo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LOO range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+1.5%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0.009 to 0.029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-0.4%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-1.3%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-0.014 to -0.001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-3.0%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-0.039 to -0.028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+3.1%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-26.9%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-0.322 to -0.291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</w:tbl>
    <w:p>
      <w:pPr>
        <w:pStyle w:val="Caption"/>
      </w:pPr>
      <w:r>
        <w:t>Supplement Table S1. Municipalities excluded from the Fukushima panel because of missing mortality or population observations. Exclusions are determined before outcome estimation.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Prefecture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Reason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Years missing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Hachimantai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Oshu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Takizawa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Nishiwaga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Hirono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Aoba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Miyagino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Wakabayashi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Taihaku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Izumi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Shiogama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Kurihara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Higashimatsushima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Shichikashuku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Shichigahama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Misato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Minamisanriku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Yamagata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Shonai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Kasumigaura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Sakuragawa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Kamisu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Namegata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Hokota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Tsukubamirai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Omitama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Nasukarasuyama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Shimotsuke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Nakagawa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Midori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Higashiazuma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Minakami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Kita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Chuo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Konan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Akiha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Nishikan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Myoko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Seiro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</w:tbl>
    <w:p>
      <w:pPr>
        <w:pStyle w:val="Caption"/>
      </w:pPr>
      <w:r>
        <w:t>Supplement Table S2. Unit-level Fukushima synthetic-control results for T1 municipalities. Mean gaps cover 2012-2019; permutation p values compare treated and placebo-unit gaps.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Post-RMSPE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 2012-2019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Minamisoma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Kawamata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Naraha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0.714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Tomioka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0.164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-0.152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Kawauchi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Okuma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-0.268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0.562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Futaba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-0.191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0.286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Namie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-0.098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Katsurao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-0.137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Iitate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