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 &amp; Policy tables</w:t>
      </w:r>
    </w:p>
    <w:p>
      <w:pPr>
        <w:pStyle w:val="Caption"/>
      </w:pPr>
      <w:r>
        <w:t>Table 1. Cross-domain mapping classifications by category. Counts describe the purposive relationship-dataset inventory and are not prevalence estimates for scientific theories or literatures.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Category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Robust nonlinear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Not significant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Outlier dependent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Overfitting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Insufficient data</w:t>
            </w:r>
          </w:p>
        </w:tc>
        <w:tc>
          <w:tcPr>
            <w:tcW w:type="dxa" w:w="137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Total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Agriculture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Demography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Economics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Environmental Science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Physics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Political Science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Psychology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Public Health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</w:tr>
      <w:tr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7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</w:tr>
    </w:tbl>
    <w:p>
      <w:pPr>
        <w:pStyle w:val="Caption"/>
      </w:pPr>
      <w:r>
        <w:t>Supplement Table S3. Fukushima difference-in-differences estimates. ATT is the 2012-2019 average difference in log crude death rates; 2011 is excluded. Permutation p values use 1000 assignments. Implied deaths are descriptive transformations of recorded municipal deaths and are not causal death counts.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Controls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Weighting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Age control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ATT (log points)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Permutation p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Pre-trend p</w:t>
            </w:r>
          </w:p>
        </w:tc>
        <w:tc>
          <w:tcPr>
            <w:tcW w:type="dxa" w:w="120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Implied deaths 2012-2019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-0.057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0.268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-877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-0.066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0.335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-1,018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-0.072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-1,123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-0.072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-1,109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-0.085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0.847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-1,333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-0.083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0.863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-1,291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-0.085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0.314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-1,322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-0.079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0.275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-1,224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T1w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-0.116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0.003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0.170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-405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T1w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-0.129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&lt; 0.001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0.498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-451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prefectures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-0.022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0.581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0.829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-93</w:t>
            </w:r>
          </w:p>
        </w:tc>
      </w:tr>
      <w:tr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only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Unweighted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-0.034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0.421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0.932</w:t>
            </w:r>
          </w:p>
        </w:tc>
        <w:tc>
          <w:tcPr>
            <w:tcW w:type="dxa" w:w="120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-146</w:t>
            </w:r>
          </w:p>
        </w:tc>
      </w:tr>
    </w:tbl>
    <w:p>
      <w:pPr>
        <w:pStyle w:val="Caption"/>
      </w:pPr>
      <w:r>
        <w:t>Supplement Table S4. Fukushima measured mortality quantities and published radiological-risk projections. Rows differ in population, geography, time horizon, measurement, and model basis and must not be added or interpreted as commensurate estimands.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Quantity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Value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Scope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Type</w:t>
            </w:r>
          </w:p>
        </w:tc>
        <w:tc>
          <w:tcPr>
            <w:tcW w:type="dxa" w:w="1930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Source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observed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2,996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expected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2,060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excess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936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Of which direct disaster deaths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732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Prefecture, 2014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residual excess deaths 2011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204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implied difference 2012-2019 (recorded)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-1,322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T1 municipalities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This study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Certified disaster-related deaths, Fukushima Prefecture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2,350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 prefecture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Measured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Reconstruction Agency, 2026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worldwide cancer deaths from the release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130 (15-1,100)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Worldwide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ten Hoeve &amp; Jacobson, 2012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Evacuation-avoided radiological mortalities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28 (3-245)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Worldwide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ten Hoeve &amp; Jacobson, 2012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Lifetime-risk relative increases in the most affected areas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leukaemia up to 7%; breast up to 6%; all solid cancers up to 4%; thyroid up to 70%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Most affected areas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WHO, 2013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WHO conclusion outside Japan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 discernible increase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Outside Japan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WHO, 2013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Collective effective dose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18 / 36 / 48 thousand man-Sv (first year / ten years / lifetime)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Japanese population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UNSCEAR, 2014</w:t>
            </w:r>
          </w:p>
        </w:tc>
      </w:tr>
      <w:tr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UNSCEAR conclusion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 discernible increase expected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Exposed population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Projected (LNT-based)</w:t>
            </w:r>
          </w:p>
        </w:tc>
        <w:tc>
          <w:tcPr>
            <w:tcW w:type="dxa" w:w="1930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UNSCEAR, 2014</w:t>
            </w:r>
          </w:p>
        </w:tc>
      </w:tr>
    </w:tbl>
    <w:p>
      <w:pPr>
        <w:pStyle w:val="Caption"/>
      </w:pPr>
      <w:r>
        <w:t>Supplement Table S5. Kansas synthetic-control estimates by outcome and donor pool. Mean gaps cover 2013-2017. Permutation p values compare Kansas with donor-state placebo gaps; LOO denotes leave-one-donor-out sensitivity.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Outcome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Pool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Mean gap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Gap (%)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Permutation p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Pre-RMSPE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donors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in-time placebo</w:t>
            </w:r>
          </w:p>
        </w:tc>
        <w:tc>
          <w:tcPr>
            <w:tcW w:type="dxa" w:w="107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LOO range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GDP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+1.5%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0.71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0.009 to 0.029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GDP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-0.004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-0.4%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0.49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0.007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Nonfarm employment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-0.013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-1.3%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0.004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-0.014 to -0.001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Nonfarm employment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-0.001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0.96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0.006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total 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-0.031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-3.0%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-0.039 to -0.028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total 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+3.1%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0.010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individual income-tax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Main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-0.313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-26.9%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0.025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-0.322 to -0.291</w:t>
            </w:r>
          </w:p>
        </w:tc>
      </w:tr>
      <w:tr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Real individual income-tax revenue per capita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All states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-0.301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-26.0%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0.019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0.103</w:t>
            </w:r>
          </w:p>
        </w:tc>
        <w:tc>
          <w:tcPr>
            <w:tcW w:type="dxa" w:w="107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</w:tbl>
    <w:p>
      <w:pPr>
        <w:pStyle w:val="Caption"/>
      </w:pPr>
      <w:r>
        <w:t>Table 2. Cross-case synthesis of the two applications across the evidence-to-policy dimensions. The applications are not statistically comparable.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Dimension</w:t>
            </w:r>
          </w:p>
        </w:tc>
        <w:tc>
          <w:tcPr>
            <w:tcW w:type="dxa" w:w="321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</w:t>
            </w:r>
          </w:p>
        </w:tc>
        <w:tc>
          <w:tcPr>
            <w:tcW w:type="dxa" w:w="3216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Kansas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Policy domain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Health and radiation protection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Fiscal policy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Canonical relationship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Dose-response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Tax rate-revenue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Decision-relevant feature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Low-dose slope and extrapolation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Local slope and turning point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Central uncertainty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Extrapolation below the observed range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Unknown position and behavioral response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Principal downside of error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Health and displacement harms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Revenue and growth effects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Reversibility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Relatively limited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Comparatively greater</w:t>
            </w:r>
          </w:p>
        </w:tc>
      </w:tr>
      <w:tr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Functional-form dependence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High if action changes under alternative plausible shapes</w:t>
            </w:r>
          </w:p>
        </w:tc>
        <w:tc>
          <w:tcPr>
            <w:tcW w:type="dxa" w:w="3216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High if expected fiscal response depends on local curve geometry</w:t>
            </w:r>
          </w:p>
        </w:tc>
      </w:tr>
    </w:tbl>
    <w:p>
      <w:pPr>
        <w:pStyle w:val="Caption"/>
      </w:pPr>
      <w:r>
        <w:t>Supplement Table S1. Municipalities excluded from the Fukushima panel because of missing mortality or population observations. Exclusions are determined before outcome estimation.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Prefecture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Municipality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Reason</w:t>
            </w:r>
          </w:p>
        </w:tc>
        <w:tc>
          <w:tcPr>
            <w:tcW w:type="dxa" w:w="2412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Years missing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Hachimantai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Oshu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Takizawa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2005,2006,2007,2008,2009,2010,2011,2012,2013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Nishiwaga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Iwate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Hirono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Aoba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Miyagino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Wakabayashi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Taihaku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Izumi Ward, Sendai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Shiogama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2006,2007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Tome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Kurihara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Higashimatsushima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Osaki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Tomiya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2005,2006,2007,2008,2009,2010,2011,2012,2013,2014,2015,2016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Shichikashuku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Shichigahama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Misato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Miyagi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Minamisanriku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Yamagata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Shonai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Fukushima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Motomiya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Kasumigaura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Sakuragawa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Kamisu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Namegata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Hokota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Tsukubamirai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Ibaraki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Omitama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Tochigi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Nasukarasuyama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Tochigi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Shimotsuke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Tochigi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Nakagawa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Gunma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Midori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Gunma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Higashiazuma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Gunma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Minakami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Kita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Higashi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Chuo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Konan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Akiha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Minami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Nishi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Nishikan Ward, 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Unit not observed under a single code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2005,2006,2007,2008,2009,2010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Myoko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Tainai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Seiro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2006</w:t>
            </w:r>
          </w:p>
        </w:tc>
      </w:tr>
      <w:tr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Niigata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Aga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Population missing in at least one year 2005-2019</w:t>
            </w:r>
          </w:p>
        </w:tc>
        <w:tc>
          <w:tcPr>
            <w:tcW w:type="dxa" w:w="241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2005</w:t>
            </w:r>
          </w:p>
        </w:tc>
      </w:tr>
    </w:tbl>
    <w:p>
      <w:pPr>
        <w:pStyle w:val="Caption"/>
      </w:pPr>
      <w:r>
        <w:t>Supplement Table S2. Unit-level Fukushima synthetic-control results for T1 municipalities. Mean gaps cover 2012-2019; permutation p values compare treated and placebo-unit gaps.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left w:val="none"/>
          <w:bottom w:val="single" w:sz="8"/>
          <w:right w:val="none"/>
          <w:insideH w:val="none"/>
          <w:insideV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Municipality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Donors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Pre-RMSPE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Post-RMSPE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Mean gap 2012-2019</w:t>
            </w:r>
          </w:p>
        </w:tc>
        <w:tc>
          <w:tcPr>
            <w:tcW w:type="dxa" w:w="1608"/>
            <w:tcBorders>
              <w:bottom w:val="single" w:sz="8"/>
            </w:tcBorders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Permutation p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Minamisoma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-0.011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Kawamata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0.082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0.333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Naraha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0.088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0.204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-0.128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0.714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Tomioka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0.059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0.164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-0.152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Kawauchi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0.044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0.148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0.083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Okuma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0.144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0.304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-0.268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0.562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Futaba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0.049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0.257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-0.191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0.286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Namie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0.004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-0.098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0.263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Katsurao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0.183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0.249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-0.137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0.833</w:t>
            </w:r>
          </w:p>
        </w:tc>
      </w:tr>
      <w:tr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Iitate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0.017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0.118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-0.027</w:t>
            </w:r>
          </w:p>
        </w:tc>
        <w:tc>
          <w:tcPr>
            <w:tcW w:type="dxa" w:w="160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18"/>
              </w:rPr>
              <w:t>0.304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