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r>
        <w:t>Dear Editor-in-Chief,</w:t>
      </w:r>
    </w:p>
    <w:p>
      <w:r>
        <w:t>I submit the research article, "When Evidence Is Not Specific Enough for Policy: Functional-Form Dependence in Evidence-Based Decision-Making," for consideration in Evidence &amp; Policy. The manuscript studies a mismatch at the centre of the journal's concern: the specificity of research evidence and the specificity that policy decisions require of it. A decision may need a threshold, a local slope, a turning point, or an extrapolated response, while the evidence behind it securely identifies only an association. I call the resulting condition functional-form dependence and treat it as an evidence-use and evidence-translation problem, not a property of any single policy field.</w:t>
      </w:r>
    </w:p>
    <w:p>
      <w:r>
        <w:t>This matters to each of the journal's audiences. For policymakers and practitioners, the article identifies when a credible estimate can still fail to answer the question the decision poses. For researchers, it separates what data identify from what model assumptions add and what policy users infer. For knowledge brokers, it specifies a class of uncertainty - about shape, range, and transportability - that intermediaries are positioned to surface before it is compressed into a portable but over-specific claim.</w:t>
      </w:r>
    </w:p>
    <w:p>
      <w:r>
        <w:t>The design is deliberately cross-domain because the problem is cross-domain. A purposive mapping applies one transparent diagnostic to 50 named relationships and quantifies an evidence-specificity gap; two applications then follow the translation chain from evidence to assumed shape to decision to consequences: post-Fukushima evacuation under low-dose radiation-risk assumptions, and the 2012 Kansas tax reform under assumptions about tax-rate-revenue and growth responses. Radiation protection and fiscal policy share no dataset, institution, or evidentiary tradition, yet the same translation problem appears in both - which is the article's empirical warrant for treating functional-form dependence as general rather than incidental. Both applications are calibrated: the linear no-threshold model is not declared false, evacuation is not declared definitively wrong, and Kansas does not disprove the Laffer curve; what the evidence shows is that each decision leaned on a feature of a curve that the evidence did not identify.</w:t>
      </w:r>
    </w:p>
    <w:p>
      <w:r>
        <w:t>The practical contribution is an evidence-use checklist for appraisal - seven questions asked before evidence justifies a policy, covering what the evidence establishes, the feature the policy requires, identification in the policy-relevant range, transportability, sensitivity to plausible alternative shapes, the consequences of the wrong shape, and the scope for staging, monitoring, or reversal - offered as a working tool for appraisal, not a theory.</w:t>
      </w:r>
    </w:p>
    <w:p>
      <w:r>
        <w:t>The manuscript is original and is not under consideration elsewhere. All data are from public sources, an anonymised reviewer archive is included, reproducibility materials are available at https://github.com/bougtoir/canonical-curves-reexamination, and I declare no competing interests or external funding.</w:t>
      </w:r>
    </w:p>
    <w:p>
      <w:r>
        <w:t>Sincerely,</w:t>
        <w:br/>
        <w:t>Onishi Tatsuki</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