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Dear Editor-in-Chief,</w:t>
      </w:r>
    </w:p>
    <w:p>
      <w:r>
        <w:t>We submit our Feature Research Article, "When the Curve Is Not There: Evaluating Policies Justified by Canonical Relationships, with Evidence from the Fukushima Evacuation and the Kansas Tax Experiment." The paper audits 50 canonical relationships and evaluates the Fukushima evacuation and Kansas tax cuts. The audit finds 68% not robustly nonlinear; the preferred Fukushima estimate is -0.085 with permutation p 0.001, and Kansas individual income-tax revenue is 27% below its synthetic counterfactual with p = 0.03.</w:t>
      </w:r>
    </w:p>
    <w:p>
      <w:r>
        <w:t>JPAM is the appropriate venue because the paper connects transparent policy evaluation to practical methods for policy analysis. It gives decision makers a reproducible way to test canonical relationships in the setting where a policy will operate, rather than treating a curve as settled evidence.</w:t>
      </w:r>
    </w:p>
    <w:p>
      <w:r>
        <w:t>The manuscript is original and is not under consideration elsewhere. All data are public, code is available at https://github.com/bougtoir/canonical-curves-reexamination, and the author declares no conflicts. The author is not an APPAM member and will pay the submission fee.</w:t>
      </w:r>
    </w:p>
    <w:p>
      <w:r>
        <w:t>Sincerely,</w:t>
        <w:br/>
        <w:t>Onishi Tatsuki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