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Appendix: Supplementary municipality exclusions and robustness analyses</w:t>
      </w:r>
    </w:p>
    <w:p>
      <w:pPr>
        <w:pStyle w:val="Caption"/>
      </w:pPr>
      <w:r>
        <w:t>Appendix Table A1. Municipalities excluded from the Fukushima panel because of missing mortality or population observations. Exclusions are determined before outcome estimation.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Prefecture</w:t>
            </w:r>
          </w:p>
        </w:tc>
        <w:tc>
          <w:tcPr>
            <w:tcW w:type="dxa" w:w="2412"/>
          </w:tcPr>
          <w:p>
            <w:r>
              <w:t>Municipality</w:t>
            </w:r>
          </w:p>
        </w:tc>
        <w:tc>
          <w:tcPr>
            <w:tcW w:type="dxa" w:w="2412"/>
          </w:tcPr>
          <w:p>
            <w:r>
              <w:t>Reason</w:t>
            </w:r>
          </w:p>
        </w:tc>
        <w:tc>
          <w:tcPr>
            <w:tcW w:type="dxa" w:w="2412"/>
          </w:tcPr>
          <w:p>
            <w:r>
              <w:t>Years missing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Hachimantai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Oshu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Takizawa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Nishiwaga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Hirono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Aoba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Miyagino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Wakabayashi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Taihaku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Izumi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Shiogama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Tome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Kurihara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Higashimatsushima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Osaki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Tomiya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2005,2006,2007,2008,2009,2010,2011,2012,2013,2014,2015,2016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Shichikashuku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Shichigahama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Misato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Minamisanriku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Yamagata</w:t>
            </w:r>
          </w:p>
        </w:tc>
        <w:tc>
          <w:tcPr>
            <w:tcW w:type="dxa" w:w="2412"/>
          </w:tcPr>
          <w:p>
            <w:r>
              <w:t>Shonai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Fukushima</w:t>
            </w:r>
          </w:p>
        </w:tc>
        <w:tc>
          <w:tcPr>
            <w:tcW w:type="dxa" w:w="2412"/>
          </w:tcPr>
          <w:p>
            <w:r>
              <w:t>Motomiya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Kasumigaura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Sakuragawa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Kamisu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Namegata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Hokota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Tsukubamirai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Omitama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Nasukarasuyama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Shimotsuke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Nakagawa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Midori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Higashiazuma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Minakami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Kita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Higashi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Chuo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Konan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Akiha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Minami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Nishikan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Myoko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Tainai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Seiro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</w:tbl>
    <w:p>
      <w:pPr>
        <w:pStyle w:val="Caption"/>
      </w:pPr>
      <w:r>
        <w:t>Appendix Table A2. Unit-level Fukushima synthetic-control results for T1 municipalities. Mean gaps cover 2012-2019; permutation p values compare treated and placebo-unit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Municipality</w:t>
            </w:r>
          </w:p>
        </w:tc>
        <w:tc>
          <w:tcPr>
            <w:tcW w:type="dxa" w:w="1608"/>
          </w:tcPr>
          <w:p>
            <w:r>
              <w:t>Donors</w:t>
            </w:r>
          </w:p>
        </w:tc>
        <w:tc>
          <w:tcPr>
            <w:tcW w:type="dxa" w:w="1608"/>
          </w:tcPr>
          <w:p>
            <w:r>
              <w:t>Pre-RMSPE</w:t>
            </w:r>
          </w:p>
        </w:tc>
        <w:tc>
          <w:tcPr>
            <w:tcW w:type="dxa" w:w="1608"/>
          </w:tcPr>
          <w:p>
            <w:r>
              <w:t>Post-RMSPE</w:t>
            </w:r>
          </w:p>
        </w:tc>
        <w:tc>
          <w:tcPr>
            <w:tcW w:type="dxa" w:w="1608"/>
          </w:tcPr>
          <w:p>
            <w:r>
              <w:t>Mean gap 2012-2019</w:t>
            </w:r>
          </w:p>
        </w:tc>
        <w:tc>
          <w:tcPr>
            <w:tcW w:type="dxa" w:w="1608"/>
          </w:tcPr>
          <w:p>
            <w:r>
              <w:t>Permutation p</w:t>
            </w:r>
          </w:p>
        </w:tc>
      </w:tr>
      <w:tr>
        <w:tc>
          <w:tcPr>
            <w:tcW w:type="dxa" w:w="1608"/>
          </w:tcPr>
          <w:p>
            <w:r>
              <w:t>Minamisoma</w:t>
            </w:r>
          </w:p>
        </w:tc>
        <w:tc>
          <w:tcPr>
            <w:tcW w:type="dxa" w:w="1608"/>
          </w:tcPr>
          <w:p>
            <w:r>
              <w:t>7</w:t>
            </w:r>
          </w:p>
        </w:tc>
        <w:tc>
          <w:tcPr>
            <w:tcW w:type="dxa" w:w="1608"/>
          </w:tcPr>
          <w:p>
            <w:r>
              <w:t>0.029300435978957</w:t>
            </w:r>
          </w:p>
        </w:tc>
        <w:tc>
          <w:tcPr>
            <w:tcW w:type="dxa" w:w="1608"/>
          </w:tcPr>
          <w:p>
            <w:r>
              <w:t>0.1839369039357427</w:t>
            </w:r>
          </w:p>
        </w:tc>
        <w:tc>
          <w:tcPr>
            <w:tcW w:type="dxa" w:w="1608"/>
          </w:tcPr>
          <w:p>
            <w:r>
              <w:t>-0.0106632246883388</w:t>
            </w:r>
          </w:p>
        </w:tc>
        <w:tc>
          <w:tcPr>
            <w:tcW w:type="dxa" w:w="1608"/>
          </w:tcPr>
          <w:p>
            <w:r>
              <w:t>0.25</w:t>
            </w:r>
          </w:p>
        </w:tc>
      </w:tr>
      <w:tr>
        <w:tc>
          <w:tcPr>
            <w:tcW w:type="dxa" w:w="1608"/>
          </w:tcPr>
          <w:p>
            <w:r>
              <w:t>Kawamata</w:t>
            </w:r>
          </w:p>
        </w:tc>
        <w:tc>
          <w:tcPr>
            <w:tcW w:type="dxa" w:w="1608"/>
          </w:tcPr>
          <w:p>
            <w:r>
              <w:t>23</w:t>
            </w:r>
          </w:p>
        </w:tc>
        <w:tc>
          <w:tcPr>
            <w:tcW w:type="dxa" w:w="1608"/>
          </w:tcPr>
          <w:p>
            <w:r>
              <w:t>0.0097976486916118</w:t>
            </w:r>
          </w:p>
        </w:tc>
        <w:tc>
          <w:tcPr>
            <w:tcW w:type="dxa" w:w="1608"/>
          </w:tcPr>
          <w:p>
            <w:r>
              <w:t>0.0816468772883595</w:t>
            </w:r>
          </w:p>
        </w:tc>
        <w:tc>
          <w:tcPr>
            <w:tcW w:type="dxa" w:w="1608"/>
          </w:tcPr>
          <w:p>
            <w:r>
              <w:t>0.0551197205542313</w:t>
            </w:r>
          </w:p>
        </w:tc>
        <w:tc>
          <w:tcPr>
            <w:tcW w:type="dxa" w:w="1608"/>
          </w:tcPr>
          <w:p>
            <w:r>
              <w:t>0.3333333333333333</w:t>
            </w:r>
          </w:p>
        </w:tc>
      </w:tr>
      <w:tr>
        <w:tc>
          <w:tcPr>
            <w:tcW w:type="dxa" w:w="1608"/>
          </w:tcPr>
          <w:p>
            <w:r>
              <w:t>Naraha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0.0884818531209874</w:t>
            </w:r>
          </w:p>
        </w:tc>
        <w:tc>
          <w:tcPr>
            <w:tcW w:type="dxa" w:w="1608"/>
          </w:tcPr>
          <w:p>
            <w:r>
              <w:t>0.2043825464261744</w:t>
            </w:r>
          </w:p>
        </w:tc>
        <w:tc>
          <w:tcPr>
            <w:tcW w:type="dxa" w:w="1608"/>
          </w:tcPr>
          <w:p>
            <w:r>
              <w:t>-0.1279506017217466</w:t>
            </w:r>
          </w:p>
        </w:tc>
        <w:tc>
          <w:tcPr>
            <w:tcW w:type="dxa" w:w="1608"/>
          </w:tcPr>
          <w:p>
            <w:r>
              <w:t>0.7142857142857143</w:t>
            </w:r>
          </w:p>
        </w:tc>
      </w:tr>
      <w:tr>
        <w:tc>
          <w:tcPr>
            <w:tcW w:type="dxa" w:w="1608"/>
          </w:tcPr>
          <w:p>
            <w:r>
              <w:t>Tomioka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0.0593407198567986</w:t>
            </w:r>
          </w:p>
        </w:tc>
        <w:tc>
          <w:tcPr>
            <w:tcW w:type="dxa" w:w="1608"/>
          </w:tcPr>
          <w:p>
            <w:r>
              <w:t>0.164491604408235</w:t>
            </w:r>
          </w:p>
        </w:tc>
        <w:tc>
          <w:tcPr>
            <w:tcW w:type="dxa" w:w="1608"/>
          </w:tcPr>
          <w:p>
            <w:r>
              <w:t>-0.1516691457422756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Kawauchi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0.0444060903046035</w:t>
            </w:r>
          </w:p>
        </w:tc>
        <w:tc>
          <w:tcPr>
            <w:tcW w:type="dxa" w:w="1608"/>
          </w:tcPr>
          <w:p>
            <w:r>
              <w:t>0.1480735301319032</w:t>
            </w:r>
          </w:p>
        </w:tc>
        <w:tc>
          <w:tcPr>
            <w:tcW w:type="dxa" w:w="1608"/>
          </w:tcPr>
          <w:p>
            <w:r>
              <w:t>0.0831437221720144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Okuma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0.1444174894492097</w:t>
            </w:r>
          </w:p>
        </w:tc>
        <w:tc>
          <w:tcPr>
            <w:tcW w:type="dxa" w:w="1608"/>
          </w:tcPr>
          <w:p>
            <w:r>
              <w:t>0.3036512375095741</w:t>
            </w:r>
          </w:p>
        </w:tc>
        <w:tc>
          <w:tcPr>
            <w:tcW w:type="dxa" w:w="1608"/>
          </w:tcPr>
          <w:p>
            <w:r>
              <w:t>-0.2680256930368754</w:t>
            </w:r>
          </w:p>
        </w:tc>
        <w:tc>
          <w:tcPr>
            <w:tcW w:type="dxa" w:w="1608"/>
          </w:tcPr>
          <w:p>
            <w:r>
              <w:t>0.5625</w:t>
            </w:r>
          </w:p>
        </w:tc>
      </w:tr>
      <w:tr>
        <w:tc>
          <w:tcPr>
            <w:tcW w:type="dxa" w:w="1608"/>
          </w:tcPr>
          <w:p>
            <w:r>
              <w:t>Futaba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0.0489068465462905</w:t>
            </w:r>
          </w:p>
        </w:tc>
        <w:tc>
          <w:tcPr>
            <w:tcW w:type="dxa" w:w="1608"/>
          </w:tcPr>
          <w:p>
            <w:r>
              <w:t>0.2571351516004428</w:t>
            </w:r>
          </w:p>
        </w:tc>
        <w:tc>
          <w:tcPr>
            <w:tcW w:type="dxa" w:w="1608"/>
          </w:tcPr>
          <w:p>
            <w:r>
              <w:t>-0.1909625167259772</w:t>
            </w:r>
          </w:p>
        </w:tc>
        <w:tc>
          <w:tcPr>
            <w:tcW w:type="dxa" w:w="1608"/>
          </w:tcPr>
          <w:p>
            <w:r>
              <w:t>0.2857142857142857</w:t>
            </w:r>
          </w:p>
        </w:tc>
      </w:tr>
      <w:tr>
        <w:tc>
          <w:tcPr>
            <w:tcW w:type="dxa" w:w="1608"/>
          </w:tcPr>
          <w:p>
            <w:r>
              <w:t>Namie</w:t>
            </w:r>
          </w:p>
        </w:tc>
        <w:tc>
          <w:tcPr>
            <w:tcW w:type="dxa" w:w="1608"/>
          </w:tcPr>
          <w:p>
            <w:r>
              <w:t>18</w:t>
            </w:r>
          </w:p>
        </w:tc>
        <w:tc>
          <w:tcPr>
            <w:tcW w:type="dxa" w:w="1608"/>
          </w:tcPr>
          <w:p>
            <w:r>
              <w:t>0.0043825333785589</w:t>
            </w:r>
          </w:p>
        </w:tc>
        <w:tc>
          <w:tcPr>
            <w:tcW w:type="dxa" w:w="1608"/>
          </w:tcPr>
          <w:p>
            <w:r>
              <w:t>0.1800522918063515</w:t>
            </w:r>
          </w:p>
        </w:tc>
        <w:tc>
          <w:tcPr>
            <w:tcW w:type="dxa" w:w="1608"/>
          </w:tcPr>
          <w:p>
            <w:r>
              <w:t>-0.0984116620871223</w:t>
            </w:r>
          </w:p>
        </w:tc>
        <w:tc>
          <w:tcPr>
            <w:tcW w:type="dxa" w:w="1608"/>
          </w:tcPr>
          <w:p>
            <w:r>
              <w:t>0.2631578947368421</w:t>
            </w:r>
          </w:p>
        </w:tc>
      </w:tr>
      <w:tr>
        <w:tc>
          <w:tcPr>
            <w:tcW w:type="dxa" w:w="1608"/>
          </w:tcPr>
          <w:p>
            <w:r>
              <w:t>Katsurao</w:t>
            </w:r>
          </w:p>
        </w:tc>
        <w:tc>
          <w:tcPr>
            <w:tcW w:type="dxa" w:w="1608"/>
          </w:tcPr>
          <w:p>
            <w:r>
              <w:t>5</w:t>
            </w:r>
          </w:p>
        </w:tc>
        <w:tc>
          <w:tcPr>
            <w:tcW w:type="dxa" w:w="1608"/>
          </w:tcPr>
          <w:p>
            <w:r>
              <w:t>0.1826943753700612</w:t>
            </w:r>
          </w:p>
        </w:tc>
        <w:tc>
          <w:tcPr>
            <w:tcW w:type="dxa" w:w="1608"/>
          </w:tcPr>
          <w:p>
            <w:r>
              <w:t>0.2488059137391605</w:t>
            </w:r>
          </w:p>
        </w:tc>
        <w:tc>
          <w:tcPr>
            <w:tcW w:type="dxa" w:w="1608"/>
          </w:tcPr>
          <w:p>
            <w:r>
              <w:t>-0.1367370322694726</w:t>
            </w:r>
          </w:p>
        </w:tc>
        <w:tc>
          <w:tcPr>
            <w:tcW w:type="dxa" w:w="1608"/>
          </w:tcPr>
          <w:p>
            <w:r>
              <w:t>0.8333333333333334</w:t>
            </w:r>
          </w:p>
        </w:tc>
      </w:tr>
      <w:tr>
        <w:tc>
          <w:tcPr>
            <w:tcW w:type="dxa" w:w="1608"/>
          </w:tcPr>
          <w:p>
            <w:r>
              <w:t>Iitate</w:t>
            </w:r>
          </w:p>
        </w:tc>
        <w:tc>
          <w:tcPr>
            <w:tcW w:type="dxa" w:w="1608"/>
          </w:tcPr>
          <w:p>
            <w:r>
              <w:t>22</w:t>
            </w:r>
          </w:p>
        </w:tc>
        <w:tc>
          <w:tcPr>
            <w:tcW w:type="dxa" w:w="1608"/>
          </w:tcPr>
          <w:p>
            <w:r>
              <w:t>0.0168998085544814</w:t>
            </w:r>
          </w:p>
        </w:tc>
        <w:tc>
          <w:tcPr>
            <w:tcW w:type="dxa" w:w="1608"/>
          </w:tcPr>
          <w:p>
            <w:r>
              <w:t>0.1182144357751331</w:t>
            </w:r>
          </w:p>
        </w:tc>
        <w:tc>
          <w:tcPr>
            <w:tcW w:type="dxa" w:w="1608"/>
          </w:tcPr>
          <w:p>
            <w:r>
              <w:t>-0.0265778278315405</w:t>
            </w:r>
          </w:p>
        </w:tc>
        <w:tc>
          <w:tcPr>
            <w:tcW w:type="dxa" w:w="1608"/>
          </w:tcPr>
          <w:p>
            <w:r>
              <w:t>0.3043478260869565</w:t>
            </w:r>
          </w:p>
        </w:tc>
      </w:tr>
    </w:tbl>
    <w:p>
      <w:pPr>
        <w:pStyle w:val="Caption"/>
      </w:pPr>
      <w:r>
        <w:t>Appendix Figure A1. Kansas neighboring-state difference-in-differences event studies for real GDP per capita, employment, total tax revenue, and individual income-tax revenue. Coefficients are relative to 2012; bars are 95% confidence intervals.</w:t>
      </w:r>
    </w:p>
    <w:p>
      <w:r>
        <w:drawing>
          <wp:inline xmlns:a="http://schemas.openxmlformats.org/drawingml/2006/main" xmlns:pic="http://schemas.openxmlformats.org/drawingml/2006/picture">
            <wp:extent cx="5852160" cy="4350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500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