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frequently depend on the shape of an empirical relationship, not merely on an association. When the decision-relevant shape - a threshold, slope, turning point, or extrapolated response - is less securely identified than the policy assumes, the policy becomes functionally dependent on that form. This article asks how functional-form dependence enters policy decisions under different evidentiary, institutional, and consequence structures. A structured focused comparison of post-Fukushima evacuation under low-dose radiation-risk assumptions and the Kansas tax reform under assumed tax-rate-revenue and growth-response relationships applies common dimensions: decision-relevant feature, location of uncertainty, transportability, decision sensitivity, consequence asymmetry, reversibility, and learning capacity. The cases were purposively selected for maximum substantive contrast rather than representativeness. Both exhibit the same mechanism, but its policy significance differs with the joint configuration of extrapolation, consequence asymmetry, reversibility, and observability. A purposive mapping of 50 canonical relationships supplies background motivation. The comparison yields propositions and lessons for comparative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an assumed tax-rate-revenue and growth response.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 They were selected because, in both, the policy rationale, the functional relationship invoked, and the downstream consequences can be reconstructed from public evidence - analytically revealing cases, not a statistical sample.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drawing>
          <wp:inline xmlns:a="http://schemas.openxmlformats.org/drawingml/2006/main" xmlns:pic="http://schemas.openxmlformats.org/drawingml/2006/picture">
            <wp:extent cx="5852160" cy="621640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52160" cy="6216402"/>
                    </a:xfrm>
                    <a:prstGeom prst="rect"/>
                  </pic:spPr>
                </pic:pic>
              </a:graphicData>
            </a:graphic>
          </wp:inline>
        </w:drawing>
      </w:r>
    </w:p>
    <w:p>
      <w:pPr>
        <w:pStyle w:val="Caption"/>
        <w:spacing w:before="240"/>
        <w:jc w:val="center"/>
      </w:pPr>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drawing>
          <wp:inline xmlns:a="http://schemas.openxmlformats.org/drawingml/2006/main" xmlns:pic="http://schemas.openxmlformats.org/drawingml/2006/picture">
            <wp:extent cx="5852160" cy="3895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52160" cy="3895105"/>
                    </a:xfrm>
                    <a:prstGeom prst="rect"/>
                  </pic:spPr>
                </pic:pic>
              </a:graphicData>
            </a:graphic>
          </wp:inline>
        </w:drawing>
      </w:r>
    </w:p>
    <w:p>
      <w:pPr>
        <w:pStyle w:val="Caption"/>
        <w:spacing w:before="240"/>
        <w:jc w:val="center"/>
      </w:pPr>
      <w:r>
        <w:t>Figure 3. Share of 50 relationship-dataset pairs not classified as robustly nonlinear across significance levels and Cook-distance removal counts. Cell labels report percentages; the color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drawing>
          <wp:inline xmlns:a="http://schemas.openxmlformats.org/drawingml/2006/main" xmlns:pic="http://schemas.openxmlformats.org/drawingml/2006/picture">
            <wp:extent cx="5852160" cy="300005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52160" cy="3000054"/>
                    </a:xfrm>
                    <a:prstGeom prst="rect"/>
                  </pic:spPr>
                </pic:pic>
              </a:graphicData>
            </a:graphic>
          </wp:inline>
        </w:drawing>
      </w:r>
    </w:p>
    <w:p>
      <w:pPr>
        <w:pStyle w:val="Caption"/>
        <w:spacing w:before="240"/>
        <w:jc w:val="center"/>
      </w:pPr>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pPr>
        <w:pStyle w:val="Caption"/>
        <w:spacing w:before="240"/>
        <w:jc w:val="center"/>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r>
        <w:drawing>
          <wp:inline xmlns:a="http://schemas.openxmlformats.org/drawingml/2006/main" xmlns:pic="http://schemas.openxmlformats.org/drawingml/2006/picture">
            <wp:extent cx="5852160" cy="251629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52160" cy="2516292"/>
                    </a:xfrm>
                    <a:prstGeom prst="rect"/>
                  </pic:spPr>
                </pic:pic>
              </a:graphicData>
            </a:graphic>
          </wp:inline>
        </w:drawing>
      </w:r>
    </w:p>
    <w:p>
      <w:pPr>
        <w:pStyle w:val="Caption"/>
        <w:spacing w:before="240"/>
        <w:jc w:val="center"/>
      </w:pPr>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drawing>
          <wp:inline xmlns:a="http://schemas.openxmlformats.org/drawingml/2006/main" xmlns:pic="http://schemas.openxmlformats.org/drawingml/2006/picture">
            <wp:extent cx="5852160" cy="3807764"/>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52160" cy="3807764"/>
                    </a:xfrm>
                    <a:prstGeom prst="rect"/>
                  </pic:spPr>
                </pic:pic>
              </a:graphicData>
            </a:graphic>
          </wp:inline>
        </w:drawing>
      </w:r>
    </w:p>
    <w:p>
      <w:pPr>
        <w:pStyle w:val="Caption"/>
        <w:spacing w:before="240"/>
        <w:jc w:val="center"/>
      </w:pPr>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Caption"/>
        <w:spacing w:before="240"/>
        <w:jc w:val="center"/>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drawing>
          <wp:inline xmlns:a="http://schemas.openxmlformats.org/drawingml/2006/main" xmlns:pic="http://schemas.openxmlformats.org/drawingml/2006/picture">
            <wp:extent cx="5852160" cy="2417894"/>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852160" cy="2417894"/>
                    </a:xfrm>
                    <a:prstGeom prst="rect"/>
                  </pic:spPr>
                </pic:pic>
              </a:graphicData>
            </a:graphic>
          </wp:inline>
        </w:drawing>
      </w:r>
    </w:p>
    <w:p>
      <w:pPr>
        <w:pStyle w:val="Caption"/>
        <w:spacing w:before="240"/>
        <w:jc w:val="center"/>
      </w:pPr>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Caption"/>
        <w:spacing w:before="240"/>
        <w:jc w:val="center"/>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-0.013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Caption"/>
        <w:spacing w:before="240"/>
        <w:jc w:val="center"/>
      </w:pPr>
      <w:r>
        <w:t>Table 5. Comparative summary of the two cases across the common dimensions. The cases are not statistically comparable; the final column states the comparative lesson each contrast supports.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Comparative dimension</w:t>
            </w:r>
          </w:p>
        </w:tc>
        <w:tc>
          <w:tcPr>
            <w:tcW w:type="dxa" w:w="2412"/>
          </w:tcPr>
          <w:p>
            <w:r>
              <w:t>Fukushima evacuation</w:t>
            </w:r>
          </w:p>
        </w:tc>
        <w:tc>
          <w:tcPr>
            <w:tcW w:type="dxa" w:w="2412"/>
          </w:tcPr>
          <w:p>
            <w:r>
              <w:t>Kansas tax reform</w:t>
            </w:r>
          </w:p>
        </w:tc>
        <w:tc>
          <w:tcPr>
            <w:tcW w:type="dxa" w:w="2412"/>
          </w:tcPr>
          <w:p>
            <w:r>
              <w:t>Comparative lesson</w:t>
            </w:r>
          </w:p>
        </w:tc>
      </w:tr>
      <w:tr>
        <w:tc>
          <w:tcPr>
            <w:tcW w:type="dxa" w:w="2412"/>
          </w:tcPr>
          <w:p>
            <w:r>
              <w:t>Policy domain</w:t>
            </w:r>
          </w:p>
        </w:tc>
        <w:tc>
          <w:tcPr>
            <w:tcW w:type="dxa" w:w="2412"/>
          </w:tcPr>
          <w:p>
            <w:r>
              <w:t>Radiation protection; emergency public health</w:t>
            </w:r>
          </w:p>
        </w:tc>
        <w:tc>
          <w:tcPr>
            <w:tcW w:type="dxa" w:w="2412"/>
          </w:tcPr>
          <w:p>
            <w:r>
              <w:t>Fiscal and economic policy</w:t>
            </w:r>
          </w:p>
        </w:tc>
        <w:tc>
          <w:tcPr>
            <w:tcW w:type="dxa" w:w="2412"/>
          </w:tcPr>
          <w:p>
            <w:r>
              <w:t>The mechanism is domain-general: a named curve can carry a decision in any sector.</w:t>
            </w:r>
          </w:p>
        </w:tc>
      </w:tr>
      <w:tr>
        <w:tc>
          <w:tcPr>
            <w:tcW w:type="dxa" w:w="2412"/>
          </w:tcPr>
          <w:p>
            <w:r>
              <w:t>Policy objective</w:t>
            </w:r>
          </w:p>
        </w:tc>
        <w:tc>
          <w:tcPr>
            <w:tcW w:type="dxa" w:w="2412"/>
          </w:tcPr>
          <w:p>
            <w:r>
              <w:t>Reduce population radiation exposure</w:t>
            </w:r>
          </w:p>
        </w:tc>
        <w:tc>
          <w:tcPr>
            <w:tcW w:type="dxa" w:w="2412"/>
          </w:tcPr>
          <w:p>
            <w:r>
              <w:t>Raise growth while recovering revenue</w:t>
            </w:r>
          </w:p>
        </w:tc>
        <w:tc>
          <w:tcPr>
            <w:tcW w:type="dxa" w:w="2412"/>
          </w:tcPr>
          <w:p>
            <w:r>
              <w:t>Both objectives required a specific shape, not just an association.</w:t>
            </w:r>
          </w:p>
        </w:tc>
      </w:tr>
      <w:tr>
        <w:tc>
          <w:tcPr>
            <w:tcW w:type="dxa" w:w="2412"/>
          </w:tcPr>
          <w:p>
            <w:r>
              <w:t>Canonical relationship</w:t>
            </w:r>
          </w:p>
        </w:tc>
        <w:tc>
          <w:tcPr>
            <w:tcW w:type="dxa" w:w="2412"/>
          </w:tcPr>
          <w:p>
            <w:r>
              <w:t>Low-dose radiation dose-response</w:t>
            </w:r>
          </w:p>
        </w:tc>
        <w:tc>
          <w:tcPr>
            <w:tcW w:type="dxa" w:w="2412"/>
          </w:tcPr>
          <w:p>
            <w:r>
              <w:t>Tax rate-revenue and growth response</w:t>
            </w:r>
          </w:p>
        </w:tc>
        <w:tc>
          <w:tcPr>
            <w:tcW w:type="dxa" w:w="2412"/>
          </w:tcPr>
          <w:p>
            <w:r>
              <w:t>Named curves compress multi-step arguments into portable pictures.</w:t>
            </w:r>
          </w:p>
        </w:tc>
      </w:tr>
      <w:tr>
        <w:tc>
          <w:tcPr>
            <w:tcW w:type="dxa" w:w="2412"/>
          </w:tcPr>
          <w:p>
            <w:r>
              <w:t>Decision-relevant feature</w:t>
            </w:r>
          </w:p>
        </w:tc>
        <w:tc>
          <w:tcPr>
            <w:tcW w:type="dxa" w:w="2412"/>
          </w:tcPr>
          <w:p>
            <w:r>
              <w:t>Low-dose slope below observed doses</w:t>
            </w:r>
          </w:p>
        </w:tc>
        <w:tc>
          <w:tcPr>
            <w:tcW w:type="dxa" w:w="2412"/>
          </w:tcPr>
          <w:p>
            <w:r>
              <w:t>Local position, slope, and dynamic response</w:t>
            </w:r>
          </w:p>
        </w:tc>
        <w:tc>
          <w:tcPr>
            <w:tcW w:type="dxa" w:w="2412"/>
          </w:tcPr>
          <w:p>
            <w:r>
              <w:t>Each decision needed one feature of the curve, not the curve as a whole.</w:t>
            </w:r>
          </w:p>
        </w:tc>
      </w:tr>
      <w:tr>
        <w:tc>
          <w:tcPr>
            <w:tcW w:type="dxa" w:w="2412"/>
          </w:tcPr>
          <w:p>
            <w:r>
              <w:t>Type of uncertainty</w:t>
            </w:r>
          </w:p>
        </w:tc>
        <w:tc>
          <w:tcPr>
            <w:tcW w:type="dxa" w:w="2412"/>
          </w:tcPr>
          <w:p>
            <w:r>
              <w:t>Extrapolation below the observed range</w:t>
            </w:r>
          </w:p>
        </w:tc>
        <w:tc>
          <w:tcPr>
            <w:tcW w:type="dxa" w:w="2412"/>
          </w:tcPr>
          <w:p>
            <w:r>
              <w:t>Local-position and response-geometry uncertainty</w:t>
            </w:r>
          </w:p>
        </w:tc>
        <w:tc>
          <w:tcPr>
            <w:tcW w:type="dxa" w:w="2412"/>
          </w:tcPr>
          <w:p>
            <w:r>
              <w:t>Different uncertainty locations produce different appraisal priorities.</w:t>
            </w:r>
          </w:p>
        </w:tc>
      </w:tr>
      <w:tr>
        <w:tc>
          <w:tcPr>
            <w:tcW w:type="dxa" w:w="2412"/>
          </w:tcPr>
          <w:p>
            <w:r>
              <w:t>Extrapolation burden</w:t>
            </w:r>
          </w:p>
        </w:tc>
        <w:tc>
          <w:tcPr>
            <w:tcW w:type="dxa" w:w="2412"/>
          </w:tcPr>
          <w:p>
            <w:r>
              <w:t>High; few observations below 0.1 Gy</w:t>
            </w:r>
          </w:p>
        </w:tc>
        <w:tc>
          <w:tcPr>
            <w:tcW w:type="dxa" w:w="2412"/>
          </w:tcPr>
          <w:p>
            <w:r>
              <w:t>Moderate; within-state history but untested rate cut</w:t>
            </w:r>
          </w:p>
        </w:tc>
        <w:tc>
          <w:tcPr>
            <w:tcW w:type="dxa" w:w="2412"/>
          </w:tcPr>
          <w:p>
            <w:r>
              <w:t>Extrapolation burden predicts how far evidence can carry a decision.</w:t>
            </w:r>
          </w:p>
        </w:tc>
      </w:tr>
      <w:tr>
        <w:tc>
          <w:tcPr>
            <w:tcW w:type="dxa" w:w="2412"/>
          </w:tcPr>
          <w:p>
            <w:r>
              <w:t>Transportability</w:t>
            </w:r>
          </w:p>
        </w:tc>
        <w:tc>
          <w:tcPr>
            <w:tcW w:type="dxa" w:w="2412"/>
          </w:tcPr>
          <w:p>
            <w:r>
              <w:t>Atomic-bomb and occupational evidence to municipal exposure</w:t>
            </w:r>
          </w:p>
        </w:tc>
        <w:tc>
          <w:tcPr>
            <w:tcW w:type="dxa" w:w="2412"/>
          </w:tcPr>
          <w:p>
            <w:r>
              <w:t>Cross-state and theoretical evidence to one state's response</w:t>
            </w:r>
          </w:p>
        </w:tc>
        <w:tc>
          <w:tcPr>
            <w:tcW w:type="dxa" w:w="2412"/>
          </w:tcPr>
          <w:p>
            <w:r>
              <w:t>Transport gaps differ in kind; decompose them by population, period, and institution.</w:t>
            </w:r>
          </w:p>
        </w:tc>
      </w:tr>
      <w:tr>
        <w:tc>
          <w:tcPr>
            <w:tcW w:type="dxa" w:w="2412"/>
          </w:tcPr>
          <w:p>
            <w:r>
              <w:t>Decision sensitivity</w:t>
            </w:r>
          </w:p>
        </w:tc>
        <w:tc>
          <w:tcPr>
            <w:tcW w:type="dxa" w:w="2412"/>
          </w:tcPr>
          <w:p>
            <w:r>
              <w:t>Evacuation scope and duration change under plausible dose-response shapes</w:t>
            </w:r>
          </w:p>
        </w:tc>
        <w:tc>
          <w:tcPr>
            <w:tcW w:type="dxa" w:w="2412"/>
          </w:tcPr>
          <w:p>
            <w:r>
              <w:t>Revenue outlook changes under plausible local slopes and growth paths</w:t>
            </w:r>
          </w:p>
        </w:tc>
        <w:tc>
          <w:tcPr>
            <w:tcW w:type="dxa" w:w="2412"/>
          </w:tcPr>
          <w:p>
            <w:r>
              <w:t>In both, plausible alternative shapes imply materially different policies.</w:t>
            </w:r>
          </w:p>
        </w:tc>
      </w:tr>
      <w:tr>
        <w:tc>
          <w:tcPr>
            <w:tcW w:type="dxa" w:w="2412"/>
          </w:tcPr>
          <w:p>
            <w:r>
              <w:t>Cost of wrong action</w:t>
            </w:r>
          </w:p>
        </w:tc>
        <w:tc>
          <w:tcPr>
            <w:tcW w:type="dxa" w:w="2412"/>
          </w:tcPr>
          <w:p>
            <w:r>
              <w:t>Displacement, mortality risk, care disruption</w:t>
            </w:r>
          </w:p>
        </w:tc>
        <w:tc>
          <w:tcPr>
            <w:tcW w:type="dxa" w:w="2412"/>
          </w:tcPr>
          <w:p>
            <w:r>
              <w:t>Revenue loss and service compression</w:t>
            </w:r>
          </w:p>
        </w:tc>
        <w:tc>
          <w:tcPr>
            <w:tcW w:type="dxa" w:w="2412"/>
          </w:tcPr>
          <w:p>
            <w:r>
              <w:t>Error costs fall on identifiable groups, not on the model.</w:t>
            </w:r>
          </w:p>
        </w:tc>
      </w:tr>
      <w:tr>
        <w:tc>
          <w:tcPr>
            <w:tcW w:type="dxa" w:w="2412"/>
          </w:tcPr>
          <w:p>
            <w:r>
              <w:t>Cost of inaction</w:t>
            </w:r>
          </w:p>
        </w:tc>
        <w:tc>
          <w:tcPr>
            <w:tcW w:type="dxa" w:w="2412"/>
          </w:tcPr>
          <w:p>
            <w:r>
              <w:t>Residual radiation exposure</w:t>
            </w:r>
          </w:p>
        </w:tc>
        <w:tc>
          <w:tcPr>
            <w:tcW w:type="dxa" w:w="2412"/>
          </w:tcPr>
          <w:p>
            <w:r>
              <w:t>Foregone growth stimulus claim</w:t>
            </w:r>
          </w:p>
        </w:tc>
        <w:tc>
          <w:tcPr>
            <w:tcW w:type="dxa" w:w="2412"/>
          </w:tcPr>
          <w:p>
            <w:r>
              <w:t>Asymmetry must be weighed in both directions, not one.</w:t>
            </w:r>
          </w:p>
        </w:tc>
      </w:tr>
      <w:tr>
        <w:tc>
          <w:tcPr>
            <w:tcW w:type="dxa" w:w="2412"/>
          </w:tcPr>
          <w:p>
            <w:r>
              <w:t>Consequence asymmetry</w:t>
            </w:r>
          </w:p>
        </w:tc>
        <w:tc>
          <w:tcPr>
            <w:tcW w:type="dxa" w:w="2412"/>
          </w:tcPr>
          <w:p>
            <w:r>
              <w:t>Severe on both sides; competing harms</w:t>
            </w:r>
          </w:p>
        </w:tc>
        <w:tc>
          <w:tcPr>
            <w:tcW w:type="dxa" w:w="2412"/>
          </w:tcPr>
          <w:p>
            <w:r>
              <w:t>Primarily fiscal; distribution across budgets</w:t>
            </w:r>
          </w:p>
        </w:tc>
        <w:tc>
          <w:tcPr>
            <w:tcW w:type="dxa" w:w="2412"/>
          </w:tcPr>
          <w:p>
            <w:r>
              <w:t>Higher asymmetry raises the decision value of shape certainty.</w:t>
            </w:r>
          </w:p>
        </w:tc>
      </w:tr>
      <w:tr>
        <w:tc>
          <w:tcPr>
            <w:tcW w:type="dxa" w:w="2412"/>
          </w:tcPr>
          <w:p>
            <w:r>
              <w:t>Reversibility</w:t>
            </w:r>
          </w:p>
        </w:tc>
        <w:tc>
          <w:tcPr>
            <w:tcW w:type="dxa" w:w="2412"/>
          </w:tcPr>
          <w:p>
            <w:r>
              <w:t>Limited; displacement and health effects partly irreversible</w:t>
            </w:r>
          </w:p>
        </w:tc>
        <w:tc>
          <w:tcPr>
            <w:tcW w:type="dxa" w:w="2412"/>
          </w:tcPr>
          <w:p>
            <w:r>
              <w:t>Comparatively greater; statutes revised in 2017</w:t>
            </w:r>
          </w:p>
        </w:tc>
        <w:tc>
          <w:tcPr>
            <w:tcW w:type="dxa" w:w="2412"/>
          </w:tcPr>
          <w:p>
            <w:r>
              <w:t>Reversible settings can substitute adaptive design for ex ante certainty.</w:t>
            </w:r>
          </w:p>
        </w:tc>
      </w:tr>
      <w:tr>
        <w:tc>
          <w:tcPr>
            <w:tcW w:type="dxa" w:w="2412"/>
          </w:tcPr>
          <w:p>
            <w:r>
              <w:t>Time to observe outcomes</w:t>
            </w:r>
          </w:p>
        </w:tc>
        <w:tc>
          <w:tcPr>
            <w:tcW w:type="dxa" w:w="2412"/>
          </w:tcPr>
          <w:p>
            <w:r>
              <w:t>Years; health endpoints partly latent</w:t>
            </w:r>
          </w:p>
        </w:tc>
        <w:tc>
          <w:tcPr>
            <w:tcW w:type="dxa" w:w="2412"/>
          </w:tcPr>
          <w:p>
            <w:r>
              <w:t>Years; fiscal outcomes observable quickly</w:t>
            </w:r>
          </w:p>
        </w:tc>
        <w:tc>
          <w:tcPr>
            <w:tcW w:type="dxa" w:w="2412"/>
          </w:tcPr>
          <w:p>
            <w:r>
              <w:t>Observability on policy timescales enables learning architectures.</w:t>
            </w:r>
          </w:p>
        </w:tc>
      </w:tr>
      <w:tr>
        <w:tc>
          <w:tcPr>
            <w:tcW w:type="dxa" w:w="2412"/>
          </w:tcPr>
          <w:p>
            <w:r>
              <w:t>Learning opportunity</w:t>
            </w:r>
          </w:p>
        </w:tc>
        <w:tc>
          <w:tcPr>
            <w:tcW w:type="dxa" w:w="2412"/>
          </w:tcPr>
          <w:p>
            <w:r>
              <w:t>Zoning, staged return, exemptions possible but hard mid-crisis</w:t>
            </w:r>
          </w:p>
        </w:tc>
        <w:tc>
          <w:tcPr>
            <w:tcW w:type="dxa" w:w="2412"/>
          </w:tcPr>
          <w:p>
            <w:r>
              <w:t>Staged cuts, triggers, sunset clauses readily available</w:t>
            </w:r>
          </w:p>
        </w:tc>
        <w:tc>
          <w:tcPr>
            <w:tcW w:type="dxa" w:w="2412"/>
          </w:tcPr>
          <w:p>
            <w:r>
              <w:t>Where learning is feasible, adaptive implementation hedges shape uncertainty.</w:t>
            </w:r>
          </w:p>
        </w:tc>
      </w:tr>
      <w:tr>
        <w:tc>
          <w:tcPr>
            <w:tcW w:type="dxa" w:w="2412"/>
          </w:tcPr>
          <w:p>
            <w:r>
              <w:t>Preferred decision architecture</w:t>
            </w:r>
          </w:p>
        </w:tc>
        <w:tc>
          <w:tcPr>
            <w:tcW w:type="dxa" w:w="2412"/>
          </w:tcPr>
          <w:p>
            <w:r>
              <w:t>Staged, revisable protection with asymmetric-harm safeguards</w:t>
            </w:r>
          </w:p>
        </w:tc>
        <w:tc>
          <w:tcPr>
            <w:tcW w:type="dxa" w:w="2412"/>
          </w:tcPr>
          <w:p>
            <w:r>
              <w:t>Staged implementation with triggers and monitoring</w:t>
            </w:r>
          </w:p>
        </w:tc>
        <w:tc>
          <w:tcPr>
            <w:tcW w:type="dxa" w:w="2412"/>
          </w:tcPr>
          <w:p>
            <w:r>
              <w:t>Architecture should match the joint uncertainty-consequence-reversibility configuration.</w:t>
            </w:r>
          </w:p>
        </w:tc>
      </w:tr>
    </w:tbl>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