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Policy Depends on a Curve: Functional-Form Dependence in Evidence-Based Policymaking</w:t>
      </w:r>
    </w:p>
    <w:p>
      <w:r>
        <w:rPr>
          <w:b/>
        </w:rPr>
        <w:t>Abstract</w:t>
      </w:r>
    </w:p>
    <w:p>
      <w:r>
        <w:t>Policy choices often depend on the assumed shape of an empirical relationship, not merely on whether two variables are associated. A threshold, turning point, curvature, or extrapolated slope can determine whether a regulation is adopted, how intensive it is, and whose harms count. Yet appraisal practices typically test whether an association exists or an average effect is significant, leaving the decision-relevant shape unexamined. This article calls the resulting condition functional-form dependence: a policy's justification, expected benefit, threshold, direction, or intensity materially depends on a relationship shape that is insufficiently identified over the policy-relevant range. We develop a decision-facing appraisal framework and motivate it with a cross-domain mapping of 50 canonical relationships, of which 34 (68%) did not meet a deliberately common diagnostic for robust nonlinear identification. Two contrasting applications - Fukushima evacuation under low-dose radiation-risk assumptions and the Kansas tax reform under a claimed fiscal response curve - show how the dependence operates in substantively different settings. The framework gives analysts a practical sequence for exposing shape assumptions before commitments become difficult to reverse.</w:t>
      </w:r>
    </w:p>
    <w:p>
      <w:r>
        <w:rPr>
          <w:b/>
        </w:rPr>
        <w:t xml:space="preserve">Keywords: </w:t>
      </w:r>
      <w:r>
        <w:t>policy appraisal; evidence-based policymaking; functional form; model uncertainty; policy design</w:t>
      </w:r>
    </w:p>
    <w:p>
      <w:pPr>
        <w:pStyle w:val="Heading1"/>
      </w:pPr>
      <w:r>
        <w:t>Introduction</w:t>
      </w:r>
    </w:p>
    <w:p>
      <w:r>
        <w:t>Many real-world policy arguments rest on the assumed shape of an empirical relationship. An evacuation order depends on how risk declines with distance or dose. A tax cut is defended on how revenue and economic activity respond to rates. A screening program assumes a threshold at which benefits begin to outweigh harms. In each case, the policy does not merely ask whether two variables are associated; it requires a particular feature of the curve - a threshold, a local slope, a turning point, a plateau, or an extrapolated segment - to hold over the range where the policy will operate. When that feature is less securely identified than the decision assumes, the policy inherits the gap.</w:t>
      </w:r>
    </w:p>
    <w:p>
      <w:r>
        <w:t>Policy analysis often misses this gap because its standard checks target different questions. Appraisal tends to ask whether an association exists, whether an average effect is statistically supported, or whether a causal design is credible (Weimer &amp; Vining, 2017). Those checks are necessary but do not establish the response shape on which a threshold, intensity, or expected benefit actually depends. Evidence enters policy through institutions, frames, and routines that can privilege a familiar picture over a fragile empirical claim (Head, 2008; Wesselink et al., 2014; Cairney, 2016; Capano &amp; Malandrino, 2022), and expert knowledge can be used to substantiate positions as well as to inform them (Boswell, 2009; Parkhurst, 2016). Model-based evidence in particular gains acceptance through supporting infrastructure and organizational conditions, not technical properties alone (Kolkman et al., 2016), and appraisal can reinforce established frames even when it reveals mismatches between objectives and consequences (Dunlop, 2010). Once a named curve - a dose-response line, a Kuznets or Laffer curve - is embedded in guidance, forecasts, or public argument, it can function as a decision premise whose local validity was never examined for the population facing the policy.</w:t>
      </w:r>
    </w:p>
    <w:p>
      <w:r>
        <w:t>This article addresses that practical problem. It defines functional-form dependence as the condition in which a policy's justification, expected benefit, threshold, direction, or intensity materially depends on a relationship shape that is insufficiently identified over the policy-relevant range. Functional-form uncertainty is a form of model uncertainty about relationship shape (Draper, 1995; Morgan &amp; Henrion, 1990); functional-form dependence is the decision-level condition in which that uncertainty changes what should be done. The article then provides a decision-facing appraisal framework that analysts can apply before or during policy design: expose the shape the recommendation requires, test whether plausible alternative shapes change the action, weigh the asymmetry of error costs, and choose an action architecture - commitment, staging, piloting, or precaution - matched to the uncertainty and the reversibility of the intervention.</w:t>
      </w:r>
    </w:p>
    <w:p>
      <w:r>
        <w:t>The concept is an organizing contribution rather than a claim that functional-form sensitivity is newly discovered. Econometrics, risk analysis, model-uncertainty research, and robust or adaptive planning traditions already examine parts of the problem (Morgan &amp; Henrion, 1990; Lempert &amp; Collins, 2007; Walker et al., 2013). Functional-form dependence links those parts to the policy argument itself. It asks when a disputed shape is not merely a technical modeling choice but a load-bearing premise connecting evidence to authority, resource allocation, exposure limits, or the scale and timing of intervention. That shift makes it possible to distinguish scientific uncertainty that is decision-irrelevant from uncertainty that should change policy design.</w:t>
      </w:r>
    </w:p>
    <w:p>
      <w:r>
        <w:t>Canonical relationships are especially consequential because they compress a multi-stage argument into a familiar picture. An inverted U suggests an optimum; a threshold suggests a boundary between acceptable and unacceptable exposure; a monotone curve suggests that more or less of an instrument will move an outcome in a predictable direction. The picture can therefore travel farther than the data, design, and scope conditions from which it originated. Conversely, shape uncertainty need not invalidate action. If all credible shapes recommend the same action over the policy-relevant range, the decision is robust even though the scientific model remains uncertain. The policy question is therefore comparative: which shape alternatives remain plausible, and do they imply materially different actions or distributions of harm?</w:t>
      </w:r>
    </w:p>
    <w:p>
      <w:r>
        <w:t>The article develops this argument in three connected steps. A purposive cross-domain mapping applies one transparent nonlinear diagnostic to 50 canonical relationships, showing that fragile shape identification is not confined to a single policy field. Two contrasting policy applications then examine the dependence in consequential, partly irreversible decisions: post-Fukushima evacuation under low-dose radiation-risk assumptions, and the Kansas tax reform associated with claims about tax-rate and revenue or growth responses. The cases are substantively heterogeneous by design; a direct synthesis explains why that heterogeneity is informative. The contribution is a practical appraisal framework for policy analysis, demonstrated on real decisions, rather than a new abstract policy theory.</w:t>
      </w:r>
    </w:p>
    <w:p>
      <w:pPr>
        <w:pStyle w:val="Heading1"/>
      </w:pPr>
      <w:r>
        <w:t>Analytical framework and methods</w:t>
      </w:r>
    </w:p>
    <w:p>
      <w:pPr>
        <w:pStyle w:val="Heading2"/>
      </w:pPr>
      <w:r>
        <w:t>From association to decision dependence</w:t>
      </w:r>
    </w:p>
    <w:p>
      <w:r>
        <w:t>The decision-facing appraisal framework distinguishes linked layers from empirical association through policy commitment. Association existence asks whether an exposure and outcome covary. Functional-form identification asks which shapes remain compatible with the evidence. Policy-relevant-range identification asks whether those shapes are distinguished within the values to which the policy applies. Decision dependence asks whether choosing among those shapes changes the policy recommendation. Consequence asymmetry asks who bears the losses if the chosen shape is wrong. Transportability and reversibility determine how much confidence and commitment the decision requires. A relationship may be real while its turning point is unidentified; its turning point may be identified in one population but not transportable; or uncertainty may remain substantial but matter little because the same reversible action performs adequately under all plausible shapes.</w:t>
      </w:r>
    </w:p>
    <w:p>
      <w:r>
        <w:t>Association existence and shape identification are separated because evidence can be strong at one layer and weak at another. A randomized or quasi-experimental contrast may establish that a policy instrument changed an outcome between two observed levels while leaving the response between, below, or above those levels unknown. A large observational sample may estimate a smooth curve precisely while leaving confounding unresolved. A mechanistic model may justify monotonicity while providing little information about the slope at low exposure. Treating these claims as interchangeable encourages evidence from one layer to be used as if it identified the others.</w:t>
      </w:r>
    </w:p>
    <w:p>
      <w:r>
        <w:t>The policy-relevant range is the subset of values that the contemplated action can reasonably produce or regulate. It should be specified from the decision problem before model comparison, not selected after viewing where a preferred curve fits best. The range may be defined by an exposure standard, a feasible tax-rate change, a program dosage, or the characteristics of eligible populations. Uncertainty outside that interval can be immaterial, while uncertainty within a narrow interval can be decisive. This local emphasis also prevents abundant data at irrelevant values from creating false confidence about a sparsely supported policy margin.</w:t>
      </w:r>
    </w:p>
    <w:p>
      <w:r>
        <w:t>Decision dependence requires an explicit bridge from model output to action. Let the candidate set include shapes that remain scientifically credible after diagnostic testing and substantive review. The policy is functionally dependent when applying the stated decision rule to that set yields materially different thresholds, target groups, intervention intensities, rankings, or expected net benefits. Materiality is therefore contextual rather than a universal statistical cutoff. A small change can matter near a legal boundary or when many people are affected; a statistically large difference can be irrelevant if every model supports the same staged action.</w:t>
      </w:r>
    </w:p>
    <w:p>
      <w:r>
        <w:t>Consequence asymmetry and reversibility turn diagnosis into policy design. A false negative and a false positive need not impose comparable losses, and those losses may fall on different groups. Analysts can characterize plausible consequences, but the weights attached to mortality, displacement, revenue, distribution, rights, or institutional trust are normative and should not be hidden inside a single fitted curve. Reversibility changes the value of immediate precision: a pilot with monitoring and a stopping rule can tolerate more uncertainty than an irreversible relocation, infrastructure commitment, or statutory entitlement. This connects the framework to policy design traditions that treat flexibility and learning as designable features rather than afterthoughts (Walker et al., 2013; Howlett, 2019).</w:t>
      </w:r>
    </w:p>
    <w:p>
      <w:r>
        <w:t>This layered view treats model form as a policy variable rather than only a statistical nuisance. It complements, rather than substitutes for, causal identification. A well-identified causal effect at one exposure contrast does not necessarily identify a full response function. Conversely, a well-fitted curve does not establish that movement along it is causal. Policy appraisal requires both kinds of discipline when a decision depends on the response shape.</w:t>
      </w:r>
    </w:p>
    <w:p>
      <w:r>
        <w:t>The framework consequently differs from asking which model is globally best. A model can dominate on an information criterion and still be unsuitable for a policy that operates near an uncertain turning point. Model averaging can improve prediction yet conceal that alternative components imply different actions. Scenario analysis can display alternatives without explaining which assumptions generate them. Functional-form appraisal uses these tools but evaluates them against a decision-facing standard: the credible model set, the relevant range, the action rule, the distribution of error costs, and the option to learn after implementation.</w:t>
      </w:r>
    </w:p>
    <w:p>
      <w:r>
        <w:t>Figure 1 summarizes the decision-facing appraisal framework. It is an appraisal device, not a universal theory of policymaking: its purpose is to make an existing decision's dependence on an empirical shape visible and testable, wherever the analyst enters the policy process. The sections that follow demonstrate different parts of this architecture: the cross-domain mapping examines shape identification under a common diagnostic, Fukushima shows how low-dose extrapolation interacts with asymmetric competing risks, and Kansas shows why a theoretically possible curve does not identify a policy's local position, slope, or dynamic response. The cases are substantively heterogeneous but expose the same policy-analytic issue: a recommendation can depend on a more specific response shape than the available evidence establishes over the range where the policy operates.</w:t>
      </w:r>
    </w:p>
    <w:p>
      <w:r>
        <w:t>Figure 1 about here</w:t>
      </w:r>
    </w:p>
    <w:p>
      <w:pPr>
        <w:pStyle w:val="Heading2"/>
      </w:pPr>
      <w:r>
        <w:t>Cross-domain mapping exercise</w:t>
      </w:r>
    </w:p>
    <w:p>
      <w:r>
        <w:t>We assembled an inventory of 52 named relationships commonly presented as nonlinear curves across economics, psychology, public health, biology, environmental science, management, and related fields. Two relationships were excluded because a reproducible dataset suitable for the common diagnostic could not be obtained, leaving 50. The unit is a relationship-dataset pair, not an independent study or a meta-analytic effect. The sample is purposive and non-probability based. It therefore cannot estimate the prevalence of invalid theories, failed replications, or policy dependence in any scientific population. Its role is to show that the gap between familiar schematic representations and empirically identified functional form is not confined to a single policy field and therefore warrants explicit appraisal.</w:t>
      </w:r>
    </w:p>
    <w:p>
      <w:r>
        <w:t>Each relationship was evaluated against a linear baseline using the same quadratic alternative. A relationship was classified as robustly nonlinear only if the quadratic term passed a nested F-test at alpha = 0.05, remained significant after removal of the 3 observations with the largest Cook's distance, improved leave-one-out cross-validation root mean squared error, and was preferred by the Bayesian information criterion (Cook, 1977; Burnham &amp; Anderson, 2004). An evidence item could instead be classified as not significant, outlier dependent, overfitting, insufficient data after influence removal, or BIC-preferred linear. Figure 2 shows the implemented decision sequence. This screen tests one simple nonlinear claim; failure does not establish linearity or rule out thresholds, splines, piecewise functions, interactions, or mechanistic alternatives.</w:t>
      </w:r>
    </w:p>
    <w:p>
      <w:r>
        <w:t>Figure 2 about here</w:t>
      </w:r>
    </w:p>
    <w:p>
      <w:r>
        <w:t>The common specification is intentionally austere. It makes the classification rule inspectable and limits domain-specific researcher discretion, but it also places unlike datasets on a shared statistical screen. Sample sizes, measurement quality, design strength, and substantive mechanisms differ across entries. We therefore preserve the diagnostic category rather than collapse all failures into a claim that a relationship is absent. Not significant indicates inadequate evidence for the tested curvature; outlier dependent indicates sensitivity to a small number of influential observations; overfitting indicates weaker out-of-sample performance; insufficient data indicates that the diagnostic could not support the classification after influence removal.</w:t>
      </w:r>
    </w:p>
    <w:p>
      <w:r>
        <w:t>We varied alpha over {0.01, 0.05, 0.10} and the number of influential observations removed over k = {1, ..., 5}. These sensitivity checks reveal how much the mapping depends on reasonable analyst choices. The original data, fitted models, diagnostics, and classification outputs are retained for each relationship.</w:t>
      </w:r>
    </w:p>
    <w:p>
      <w:r>
        <w:t>This exercise is consequently neither a replication count nor a ranking of fields. The underlying canonical claims were formulated at different times and may have been refined, bounded, or abandoned in later work. Some datasets are teaching or historical evidence rather than the strongest available study. The value of the map is diagnostic: it illustrates cases in which a recognizable nonlinear narrative outruns what a particular evidence base identifies. Policy use requires the next step of locating the decision, the relevant range, and the consequences of choosing among credible shapes.</w:t>
      </w:r>
    </w:p>
    <w:p>
      <w:pPr>
        <w:pStyle w:val="Heading2"/>
      </w:pPr>
      <w:r>
        <w:t>Policy applications and inferential scope</w:t>
      </w:r>
    </w:p>
    <w:p>
      <w:r>
        <w:t>The two applications were selected because both policy debates invoked a canonical shape, both involved consequential and partly irreversible choices, and both permit transparent post-policy analysis using public data. They are substantively heterogeneous and contrasting rather than representative cases, selected to expose the same decision-level dependence in different settings. Fukushima concerns a risk function used under emergency conditions, where errors can distribute health risks across radiation exposure, evacuation, displacement, and disrupted care. Kansas concerns a fiscal response function, where claims about revenue recovery and growth can affect budgets and public services. The analyses do not identify a universally correct radiation model or tax rate. They examine what can and cannot be learned when policy claims depend on assumed shapes.</w:t>
      </w:r>
    </w:p>
    <w:p>
      <w:r>
        <w:t>The cases are not offered as proof that a single curve mechanically caused either policy. Emergency evacuation and tax legislation reflect legal authority, political commitments, administrative capacity, values, and multiple streams of evidence. The applications instead isolate a load-bearing empirical proposition within each policy rationale and ask how observed outcomes bear on it. This limited claim is important: identifying functional-form dependence does not require a monocausal account of policymaking, only that the assumed shape changes the justification, expected benefit, or scale of action.</w:t>
      </w:r>
    </w:p>
    <w:p>
      <w:r>
        <w:t>For Fukushima, annual municipal deaths and resident-register populations were assembled for 307 municipalities from the Japanese government's official-statistics portal (Ministry of Health, Labour and Welfare, 2021; Ministry of Internal Affairs and Communications, 2021). The primary treatment group (T1) contains 10 municipalities subject to mandatory evacuation orders, with approximately 160,000 residents in 2010. Municipalities with tsunami inundation exceeding 1.2% were excluded to reduce direct-tsunami confounding; missing-data exclusions are reported in Appendix Table A1. We estimated two-way fixed-effects differences in log crude death rates, with municipality and year effects, excluding 2011 from the post-period average:</w:t>
      </w:r>
    </w:p>
    <w:p>
      <w:pPr>
        <w:jc w:val="center"/>
      </w:pPr>
      <m:oMathPara>
        <m:oMath>
          <m:r>
            <m:t>ln(CDR</m:t>
          </m:r>
          <m:r>
            <m:t>_it) = </m:t>
          </m:r>
          <m:oMath>
            <m:sSub>
              <m:e>
                <m:r>
                  <m:t>alpha</m:t>
                </m:r>
              </m:e>
              <m:sub>
                <m:r>
                  <m:t>i</m:t>
                </m:r>
              </m:sub>
            </m:sSub>
          </m:oMath>
          <m:r>
            <m:t> + </m:t>
          </m:r>
          <m:oMath>
            <m:sSub>
              <m:e>
                <m:r>
                  <m:t>gamma</m:t>
                </m:r>
              </m:e>
              <m:sub>
                <m:r>
                  <m:t>t</m:t>
                </m:r>
              </m:sub>
            </m:sSub>
          </m:oMath>
          <m:r>
            <m:t> + </m:t>
          </m:r>
          <m:oMath>
            <m:r>
              <m:t>beta</m:t>
            </m:r>
          </m:oMath>
          <m:r>
            <m:t> D_it + </m:t>
          </m:r>
          <m:oMath>
            <m:sSub>
              <m:e>
                <m:r>
                  <m:t>epsilon</m:t>
                </m:r>
              </m:e>
              <m:sub>
                <m:r>
                  <m:t>it</m:t>
                </m:r>
              </m:sub>
            </m:sSub>
          </m:oMath>
        </m:oMath>
      </m:oMathPara>
    </w:p>
    <w:p>
      <w:r>
        <w:t>The preferred comparison uses unweighted T1 municipalities and Fukushima municipal controls for 2012-2019. Robustness checks vary control pools, population weighting, age controls, treatment definitions, permutation inference, and synthetic controls (Abadie et al., 2010, 2015; Abadie, 2021). The fixed-effects event-study design follows standard cautions about serial correlation and dynamic treatment patterns (Autor, 2003; Bertrand et al., 2004). The estimand is a difference in deaths recorded in municipal vital statistics relative to a counterfactual trend. It is not a direct estimate of evacuation-caused mortality. Resident registration, migration, deaths recorded outside the municipality, demographic composition, and selective return can affect both numerator and denominator. The 2011 decomposition separately compares observed and trend-expected deaths and direct disaster deaths. Appendix Table A2 reports unit-level synthetic-control results.</w:t>
      </w:r>
    </w:p>
    <w:p>
      <w:r>
        <w:t>The Fukushima interpretation also separates distinct risk quantities. Low-dose radiation policy often uses linear no-threshold or related dose-response assumptions to project population risks at doses where direct epidemiological identification is difficult (ICRP, 2007). Evacuation thresholds translate those risk assumptions into action, but evacuation can produce other harms. Measured municipal deaths, certified disaster-related deaths, and projected radiological deaths are not interchangeable estimands. We place them side by side only to show differences in scope, construction, and decision relevance.</w:t>
      </w:r>
    </w:p>
    <w:p>
      <w:r>
        <w:t>For Kansas, we constructed a state-year panel for 1997-2012 and later years, then estimated synthetic controls for real gross domestic product per capita, nonfarm employment, real total tax revenue per capita, and real individual income-tax revenue per capita. The main donor pool excludes states with large contemporaneous rate changes or without broad individual income taxes, leaving 33 donors; an all-state pool provides a second specification. Permutation tests, leave-one-donor-out checks, in-time placebos, and neighboring-state event studies assess sensitivity. State-specific aircraft, agriculture, and oil shocks remain plausible confounders.</w:t>
      </w:r>
    </w:p>
    <w:p>
      <w:r>
        <w:t>The relevant functional-form distinction is between the general Laffer-curve proposition and claims made for the Kansas reform (Laffer, 2004; Kansas Legislature, 2012; Rothschild, 2012). A revenue-maximizing tax rate may exist in principle without Kansas beginning above it, and a local behavioral response does not imply that a large tax cut will recover its static revenue loss through growth. The application therefore evaluates the observed reform against its synthetic counterfactual; it does not test the universal existence of a Laffer curve.</w:t>
      </w:r>
    </w:p>
    <w:p>
      <w:r>
        <w:t>The Kansas estimands are post-reform gaps between Kansas and weighted donor states, conditional on pre-reform fit and the chosen donor restrictions. They combine the tax changes with other Kansas-specific events that occur after treatment and cannot establish the contribution of every statutory provision. The individual income-tax result is nevertheless directly relevant to the policy-facing claim that behavioral growth would offset a substantial part of the static revenue loss. GDP and employment outcomes provide a separate check on the growth channel; they should not be used to infer that all distributional, service, or long-run effects were absent.</w:t>
      </w:r>
    </w:p>
    <w:p>
      <w:pPr>
        <w:pStyle w:val="Heading1"/>
      </w:pPr>
      <w:r>
        <w:t>Results</w:t>
      </w:r>
    </w:p>
    <w:p>
      <w:pPr>
        <w:pStyle w:val="Heading2"/>
      </w:pPr>
      <w:r>
        <w:t>Mapping functional-form identification across canonical relationships</w:t>
      </w:r>
    </w:p>
    <w:p>
      <w:r>
        <w:t>At the default thresholds, 34 of 50 relationship-dataset pairs (68%) were not classified as robustly nonlinear. The largest category was not significant (27); 4 were outlier dependent, 1 failed predictive comparison, and 2 became insufficient after influence removal. Sixteen passed all criteria. Across the study's alpha and influence-removal grid, the share not classified as robustly nonlinear ranged from 60% to 74% (Figure 3). Table 1 reports categories by field.</w:t>
      </w:r>
    </w:p>
    <w:p>
      <w:r>
        <w:t>Figure 3 about here</w:t>
      </w:r>
    </w:p>
    <w:p>
      <w:r>
        <w:t>These classifications should be read as a map of shape identification under a common diagnostic, not a verdict on whether each underlying theory is true. A quadratic can miss a genuine nonlinear mechanism, and small datasets can fail a screen despite meaningful curvature. Conversely, a quadratic that passes does not establish causality or transportability. Across the mapped relationship-dataset pairs, several familiar schematic forms were more specific than could be established by the common diagnostic over the observed data range. For the Laffer dataset, the quadratic term had p = 0.06 with n = 29; for the low-dose radiation dataset, it had p = 0.15 with n = 21, including 6 observations below 0.1 Gy. These two items motivate, but do not resolve, the policy applications.</w:t>
      </w:r>
    </w:p>
    <w:p>
      <w:r>
        <w:t>The category pattern is more informative than the aggregate share alone. Most non-passing items did not provide strong evidence for the tested curvature, whereas a smaller group changed classification after influence or predictive checks. These are different evidentiary problems and call for different responses. Weak curvature evidence may justify presenting several shapes; influence dependence calls for scrutiny of measurement and scope; poor prediction cautions against using in-sample fit to forecast policy effects; insufficient support may justify targeted data collection. The map thus directs attention toward the assumption that carries the decision rather than issuing a uniform rejection.</w:t>
      </w:r>
    </w:p>
    <w:p>
      <w:pPr>
        <w:pStyle w:val="Heading2"/>
      </w:pPr>
      <w:r>
        <w:t>Fukushima: policy dependence on an assumed risk function</w:t>
      </w:r>
    </w:p>
    <w:p>
      <w:r>
        <w:t>Figure 4 plots pooled crude death rates. T1 municipalities show a sharp 2011 increase and a lower recorded rate than the Fukushima control group in much of the 2012-2019 estimation window. The preferred difference-in-differences estimate is -0.085 log points, corresponding to approximately 8% fewer recorded deaths than the counterfactual trend (permutation p 0.001; pre-trend p 0.314). Across T1 specifications, estimates range from -0.085 to -0.057 log points. Table 2 reports the specification grid, and Figure 5 shows the preferred event study.</w:t>
      </w:r>
    </w:p>
    <w:p>
      <w:r>
        <w:t>Figure 4 about here</w:t>
      </w:r>
    </w:p>
    <w:p>
      <w:r>
        <w:t>Figure 5 about here</w:t>
      </w:r>
    </w:p>
    <w:p>
      <w:r>
        <w:t>The negative post-2011 coefficient is not evidence that evacuation improved health. It is consistent with mechanisms that change who remains registered or where deaths are recorded, including displacement, selective return, and population composition. It also illustrates why a single observed outcome can be misleading when the policy reshapes the population at risk. Synthetic-control and treatment-scope checks produce the same broad warning but do not eliminate these interpretive limits.</w:t>
      </w:r>
    </w:p>
    <w:p>
      <w:r>
        <w:t>This measurement problem is itself part of functional-form appraisal. Evacuation changes residence, service access, household composition, and the location where events are registered. The observed municipal mortality series therefore does not trace a stable population through exposure levels. A policy comparison that treated the post-evacuation curve as a biological dose-response function would confound the response of individuals with changes in who remains in the dataset. The relevant evidence architecture must distinguish exposure models, population movement, health outcomes, and administrative recording before those components are combined in a decision model.</w:t>
      </w:r>
    </w:p>
    <w:p>
      <w:r>
        <w:t>The 2011 decomposition is different. T1 municipalities recorded 2,996 deaths against 2,060 expected from their pre-disaster trend, an excess of 936. Direct disaster deaths account for 732, leaving a residual of 204 (Figure 6). The residual cannot be assigned wholly to evacuation: emergency disruption, indirect disaster effects, measurement, and model error are also possible. Certified disaster-related deaths for Fukushima Prefecture total 2350 as of February 13, 2026, but that prefecture-wide administrative measure differs from the T1 municipal decomposition (Fukushima Prefecture, 2014; Reconstruction Agency, 2026).</w:t>
      </w:r>
    </w:p>
    <w:p>
      <w:r>
        <w:t>Figure 6 about here</w:t>
      </w:r>
    </w:p>
    <w:p>
      <w:r>
        <w:t>Table 3 places these measured quantities beside published radiological projections. Ten Hoeve and Jacobson (2012) projected a best estimate of 130 worldwide cancer deaths from the release, with a range of 15-1,100; their model attributed a best estimate of 28 averted radiological deaths to evacuation, with a range of 3-245. WHO (2013) and UNSCEAR (2014) report other modeled risk quantities and scopes. The comparison does not add these figures or treat them as commensurate. It shows that an evacuation decision can be highly sensitive to the assumed low-dose response while its consequences extend to outcomes that the radiation-risk curve does not represent.</w:t>
      </w:r>
    </w:p>
    <w:p>
      <w:r>
        <w:t>The application therefore supports a calibrated conclusion. It does not show that the linear no-threshold model is false, that the evacuation was definitively wrong, or that non-evacuation would have been superior. It shows that the decision combined uncertain low-dose extrapolation with asymmetric and partly irreversible consequences. A functional-form appraisal would have required policy performance to be examined under multiple dose-response assumptions and would have treated evacuation design, duration, exceptions, staged return, and support for vulnerable residents as adjustable policy variables.</w:t>
      </w:r>
    </w:p>
    <w:p>
      <w:r>
        <w:t>The case also illustrates why robust design can be more useful than a binary choice between accepting and rejecting a risk model. Zoning, assisted voluntary relocation, exemptions for medically fragile residents, transport and continuity of care, time-limited orders, exposure monitoring, and staged return can perform differently across plausible risk functions. Evaluating that portfolio would not remove ethical conflict or uncertainty, but it would prevent a single low-dose curve from determining every dimension of the intervention.</w:t>
      </w:r>
    </w:p>
    <w:p>
      <w:pPr>
        <w:pStyle w:val="Heading2"/>
      </w:pPr>
      <w:r>
        <w:t>Kansas: policy dependence on an assumed fiscal response function</w:t>
      </w:r>
    </w:p>
    <w:p>
      <w:r>
        <w:t>Figure 7 compares Kansas with synthetic Kansas. After the 2012 reform, real individual income-tax revenue per capita averaged approximately 27% below the main synthetic counterfactual (permutation p = 0.03); the all-state donor pool implies 26%. The estimated gap increased from about $91 per capita in 2013 to $422 in 2016, with a cumulative counterfactual gap of approximately $4.6 billion in 2012 dollars. Real total tax revenue was 3.0% lower (p = 0.18).</w:t>
      </w:r>
    </w:p>
    <w:p>
      <w:r>
        <w:t>Figure 7 about here</w:t>
      </w:r>
    </w:p>
    <w:p>
      <w:r>
        <w:t>The corresponding post-reform gaps were +1.5% for real GDP per capita (p = 0.71) and -1.3% for employment (p = 0.47). Table 4 reports both donor pools, pre-period fit, in-time placebos, and leave-one-donor-out ranges. The individual income-tax estimate is stable across leave-one-donor-out checks (-0.322 to -0.291 log points) and has pre-period RMSPE 0.025. These comparisons do not eliminate state-specific shocks, especially in aircraft manufacturing, agriculture, and energy.</w:t>
      </w:r>
    </w:p>
    <w:p>
      <w:r>
        <w:t>The result is not a universal rejection of the Laffer curve. It is a failure to observe a macroeconomic response large enough, within this period and design, to offset the reform's revenue loss. The functional-form issue lies in moving from a general possibility of a revenue maximum to a claim about Kansas's initial position, the local slope over a large policy change, and the timing and magnitude of dynamic growth. Those are separate empirical propositions. Treating the schematic curve as sufficient evidence compressed them into one policy claim.</w:t>
      </w:r>
    </w:p>
    <w:p>
      <w:r>
        <w:t>A decision-facing appraisal would have separated at least four quantities: the static mechanical revenue loss, the behavioral response of taxable income, the effect of the reform on broader economic activity, and the timing with which any growth returns to the tax base. Each quantity can have a different functional form and lag structure. Budget safeguards, staged rate changes, automatic review triggers, and sunset clauses could then be evaluated against scenarios in which the growth response is early, delayed, small, or concentrated outside the taxed base. The point is not that gradualism is always optimal, but that reversibility and monitoring have value when the fiscal response curve is uncertain.</w:t>
      </w:r>
    </w:p>
    <w:p>
      <w:pPr>
        <w:pStyle w:val="Heading1"/>
      </w:pPr>
      <w:r>
        <w:t>Discussion</w:t>
      </w:r>
    </w:p>
    <w:p>
      <w:pPr>
        <w:pStyle w:val="Heading2"/>
      </w:pPr>
      <w:r>
        <w:t>Principal finding</w:t>
      </w:r>
    </w:p>
    <w:p>
      <w:r>
        <w:t>The central finding is practical. Real-world policies can depend on the shape of an empirical relationship more strongly than the available evidence identifies that shape. Across the mapped relationship-dataset pairs, classification under the common screen often depended on significance thresholds, influential observations, predictive comparison, or limited data. The policy applications show why that distinction matters: a dose-response assumption can influence an emergency threshold, while a tax-response assumption can support a large fiscal change. In neither setting does uncertainty disappear merely because the curve has a recognized name.</w:t>
      </w:r>
    </w:p>
    <w:p>
      <w:r>
        <w:t>This argument is not a demand for model-free policy. All appraisal uses models, and emergency decisions often must be made before evidence is complete. The relevant standard is conditional transparency: identify which shape the recommendation needs, show the range where it is supported, compare plausible alternatives, and state whether the action changes. Model uncertainty becomes policy risk when alternatives imply materially different decisions or consequences.</w:t>
      </w:r>
    </w:p>
    <w:p>
      <w:pPr>
        <w:pStyle w:val="Heading2"/>
      </w:pPr>
      <w:r>
        <w:t>Why an association is not enough</w:t>
      </w:r>
    </w:p>
    <w:p>
      <w:r>
        <w:t>A statistically supported association does not establish a threshold, a turning point, monotonicity, linearity, convexity, concavity, a plateau, or behavior beyond the observed range. This distinction also qualifies common evidence hierarchies. A design that is credible for estimating an average contrast does not automatically rank highly for identifying a threshold, optimum, or tail response. The evidentiary question must match the policy claim. If the decision needs the sign of an average effect, a local contrast may be sufficient. If it needs a turning point or a projection far beyond observed support, the same study may provide only indirect evidence. Functional form can enter even inside causal methods: difference-in-differences identification can itself be sensitive to outcome transformations (Roth &amp; Sant'Anna, 2023). Appraisal systems should therefore record not only study quality but which feature of the response function the design can identify.</w:t>
      </w:r>
    </w:p>
    <w:p>
      <w:r>
        <w:t>Named curves can obscure this matching problem because they provide a portable vocabulary for officials, experts, advocates, and the public. Portability is valuable, but it can detach the image from its provenance. A useful accountability practice is to maintain an assumption ledger: the dataset and design supporting the shape, the range actually observed, transformations used, influential cases, competing forms considered, and the part of the decision that changes if the shape changes. Such documentation makes disagreement traceable without requiring every decision maker to reproduce the underlying analysis.</w:t>
      </w:r>
    </w:p>
    <w:p>
      <w:pPr>
        <w:pStyle w:val="Heading2"/>
      </w:pPr>
      <w:r>
        <w:t>Policy-relevant range and transportability</w:t>
      </w:r>
    </w:p>
    <w:p>
      <w:r>
        <w:t>Functional-form identification must be local to the decision. Global fit can hide weak support near a threshold or turning point, and dense observations in one range cannot validate extrapolation into another. The relevant support should be reported alongside the policy range, including which populations and periods identify the slope or curvature. Where evidence is transported, analysts should state which causal mechanisms and institutional conditions are assumed to remain stable. This extends the familiar concern with external validity (Cartwright &amp; Hardie, 2012) from average effects to the shape of the response function.</w:t>
      </w:r>
    </w:p>
    <w:p>
      <w:r>
        <w:t>The Fukushima case makes range validity especially salient because low-dose risk projections necessarily rely on assumptions where direct signal is weak. The Kansas case makes local policy position salient because the existence of a revenue maximum says little about whether a particular state is above or below it. In both cases, the policy-relevant claim is narrower and more demanding than the canonical relationship's general plausibility.</w:t>
      </w:r>
    </w:p>
    <w:p>
      <w:r>
        <w:t>Transportability should be decomposed rather than treated as a single yes-or-no judgment. Population transport asks whether effect modifiers and vulnerability differ; temporal transport asks whether technology, behavior, or baseline risk changed; institutional transport asks whether implementation and incentives are comparable; range transport asks whether the relevant values are represented. A claim can transport on some dimensions and fail on another. Recording these dimensions separately clarifies whether uncertainty should alter the model, the target population, the implementation plan, or the strength of commitment.</w:t>
      </w:r>
    </w:p>
    <w:p>
      <w:r>
        <w:t>Policies can also change the process used to learn the curve. Evacuation alters where people live and where health events are observed; tax reform changes reporting, avoidance, investment timing, and the composition of the tax base. Post-policy data are therefore not passive observations of the pre-policy relationship. Monitoring plans should anticipate these feedbacks and preserve measures capable of distinguishing substantive response from selection, adaptation, and administrative reclassification.</w:t>
      </w:r>
    </w:p>
    <w:p>
      <w:pPr>
        <w:pStyle w:val="Heading2"/>
      </w:pPr>
      <w:r>
        <w:t>Cross-case synthesis</w:t>
      </w:r>
    </w:p>
    <w:p>
      <w:r>
        <w:t>Fukushima and Kansas are not statistically comparable cases, and we do not treat them as such. Their heterogeneity is precisely what makes the comparison informative: functional-form dependence arises through different mechanisms across substantively different policy settings. In Fukushima, the decision depended on extrapolating a dose-response relationship below the observed range while competing harms were large and partly irreversible. In Kansas, the decision depended on the state's unobserved local position on a theoretically possible curve and on the magnitude and timing of a dynamic behavioral response. Table 5 summarizes the contrast.</w:t>
      </w:r>
    </w:p>
    <w:p>
      <w:r>
        <w:t>The synthesis shows that the same analytical problem surfaces whether the policy is protective or fiscal, whether the curve is biological or behavioral, and whether the operative uncertainty is extrapolation or local position. In both applications, a named relationship supplied decision-relevant content - an evacuation threshold, an expected revenue recovery - that the evidence over the relevant range did not establish. In both, the principal downside of acting on a wrong shape fell on identifiable groups rather than on the model. What differs is the mechanism and the remedy: Fukushima points toward consequence asymmetry and staged, revisable protection, whereas Kansas points toward staged implementation, budget safeguards, and monitoring of the fiscal response.</w:t>
      </w:r>
    </w:p>
    <w:p>
      <w:pPr>
        <w:pStyle w:val="Heading2"/>
      </w:pPr>
      <w:r>
        <w:t>Functional-form dependence as policy risk</w:t>
      </w:r>
    </w:p>
    <w:p>
      <w:r>
        <w:t>The seriousness of functional-form dependence depends on consequences, not only statistical uncertainty. A wrong shape may be tolerable when a policy is cheap, reversible, and produces similar outcomes across plausible models. It is more concerning when action is large, irreversible, distributionally uneven, or likely to create path dependence. Consequence asymmetry also cuts in both directions. Underreaction and overreaction may harm different groups, on different time horizons, through outcomes measured in different units. Appraisal should not allow one modeled outcome to eclipse harms omitted from the response function.</w:t>
      </w:r>
    </w:p>
    <w:p>
      <w:r>
        <w:t>This view connects evidence use to policy design. Robustness is not simply a property of a coefficient; it is a property of an action across uncertain states of the world. Staged implementation, pilots, adaptive thresholds, sunset clauses, monitoring triggers, and support for exposed groups can reduce the cost of being wrong. Policy appraisal should therefore ask not only which curve fits best, but which feasible policy remains acceptable if the curve differs.</w:t>
      </w:r>
    </w:p>
    <w:p>
      <w:r>
        <w:t>Four recurring forms of decision dependence deserve separate attention. Threshold dependence arises when small changes in a fitted boundary switch legal or administrative status. Turning-point dependence arises when policy assumes that an instrument lies on one side of an optimum. Extrapolation dependence arises when benefits or harms are projected into ranges with little direct support. Aggregation dependence arises when a population-level curve masks heterogeneous responses that matter for targeting or equity. The appropriate safeguard differs: buffer zones for thresholds, local identification around optima, scenario bounds for extrapolation, and subgroup or distributional analysis for aggregation.</w:t>
      </w:r>
    </w:p>
    <w:p>
      <w:r>
        <w:t>Robustness and resilience remain distinct. Robustness asks whether an action performs acceptably across the uncertainties considered at appraisal. Resilience concerns the capacity of a policy system to detect surprises, absorb disruption, and reorganize after implementation (Capano &amp; Woo, 2017). A policy can be robust to several response shapes yet brittle to an omitted outcome, or initially non-robust yet governed by institutions capable of rapid correction. Functional-form appraisal should therefore inform both ex ante choice and the ex post capacity to learn.</w:t>
      </w:r>
    </w:p>
    <w:p>
      <w:pPr>
        <w:pStyle w:val="Heading2"/>
      </w:pPr>
      <w:r>
        <w:t>Implications for policy practice</w:t>
      </w:r>
    </w:p>
    <w:p>
      <w:r>
        <w:t>Figure 1 introduced the decision-facing appraisal framework before the empirical applications. Analysts first specify the empirical relationship and the functional-form assumption embedded in the policy claim. They then delimit the policy-relevant range and test whether alternative shapes change the decision. Next they map consequences, including asymmetries and outcomes outside the focal curve. Finally, they choose an action architecture: commitment may be justified when the form is well identified and alternatives converge, while staging, adaptation, or precaution may be preferable when decisions diverge and consequences are asymmetric.</w:t>
      </w:r>
    </w:p>
    <w:p>
      <w:r>
        <w:t>In practice, the framework reduces to a short diagnostic checklist that can be applied to any policy argument that leans on a relationship's shape: (1) What feature of the curve does the policy actually require - a threshold, a turning point, a slope, a plateau? (2) Is that feature empirically identified, or is it assumed? (3) Is it identified in the range where the policy operates? (4) Would plausible alternative shapes change the recommendation? (5) Are the costs of a wrong shape asymmetric across groups or outcomes? (6) How transportable is the evidence across population, period, and institution? (7) Can the intervention be staged, piloted, or reversed? Answers that expose weak points do not automatically argue against action; they indicate where safeguards, monitoring, or staged design carry the most decision value.</w:t>
      </w:r>
    </w:p>
    <w:p>
      <w:r>
        <w:t>The framework can be implemented without a large new modeling exercise. A minimum appraisal can display the observed support, compare a small set of theoretically plausible forms, report the induced policy recommendation under each, and explain which consequences are excluded. Sensitivity auditing is most useful when it follows the decision logic rather than varying parameters indiscriminately (Saltelli et al., 2020). Where disagreement concerns values rather than evidence, the appraisal should preserve that distinction instead of presenting technical uncertainty as the sole source of conflict.</w:t>
      </w:r>
    </w:p>
    <w:p>
      <w:r>
        <w:t>A fuller appraisal can be organized as a decision table. Rows represent credible functional forms or bounded scenarios; columns report the implied threshold or policy intensity, affected population, expected benefits, omitted outcomes, and distribution of losses if the scenario is wrong. A final column records whether the action can be paused, reversed, or revised and what evidence would trigger that change. The purpose is not to assign spurious probabilities to every model but to reveal whether the recommendation is stable and where learning has the highest decision value.</w:t>
      </w:r>
    </w:p>
    <w:p>
      <w:r>
        <w:t>The candidate model set should be theoretically and empirically disciplined. Including arbitrary curves can manufacture indecision; considering only the incumbent specification can manufacture confidence. Analysts should justify alternatives using mechanism, prior evidence, diagnostics, and known sources of extrapolation. Where the set remains contested, results can be reported under nested assumptions so that decision makers can see which conclusion requires which restriction. This is more informative than a single preferred estimate accompanied by a generic statement that results are robust.</w:t>
      </w:r>
    </w:p>
    <w:p>
      <w:r>
        <w:t>Institutional responsibility should be assigned for updating the appraisal. A monitoring indicator without a named decision, review date, and authority to act does not create adaptation. For high-consequence policies, the record should identify who maintains the data, who reassesses the functional form, which stakeholders review asymmetric consequences, and what procedural threshold permits revision. These governance details matter because model assumptions can persist through organizational routines after their empirical basis has changed.</w:t>
      </w:r>
    </w:p>
    <w:p>
      <w:pPr>
        <w:pStyle w:val="Heading2"/>
      </w:pPr>
      <w:r>
        <w:t>Limitations</w:t>
      </w:r>
    </w:p>
    <w:p>
      <w:r>
        <w:t>The mapping exercise is deliberately bounded. The inventory is not a probability sample, relationship-dataset pairs are not independent studies, and the common quadratic alternative cannot represent every scientifically plausible form. Several datasets are small, classifications depend on methodological judgments, and a single dataset cannot adjudicate a literature. The mapping therefore does not estimate how often canonical theories are false. Its sensitivity analysis shows that the headline share varies, although the broader pattern persists.</w:t>
      </w:r>
    </w:p>
    <w:p>
      <w:r>
        <w:t>The policy applications also have important limits. The Fukushima analysis uses municipal vital statistics affected by displacement, registration, demographic change, and location of death. The resident-register denominator changes from Japanese residents through 2012 to total residents from 2013; year effects absorb a common level change, but differential foreign-resident composition may remain. The tsunami-inundation exclusion and treatment boundary are also design choices rather than randomized assignment. The analysis cannot attribute the full 2011 residual or the post-2011 difference to evacuation, nor can it estimate the unobserved health outcomes under a non-evacuation policy. The Kansas synthetic control cannot fully separate the tax reform from contemporaneous state-specific sectoral shocks; the neighboring-state event studies in Appendix Figure A1 are supplementary rather than definitive. Neither case isolates the causal effect of believing a curve.</w:t>
      </w:r>
    </w:p>
    <w:p>
      <w:r>
        <w:t>The article also stops short of a welfare analysis that places all case outcomes on a common scale. That omission is deliberate because monetizing or aggregating mortality, displacement, service loss, revenue, growth, and distribution would introduce additional functional forms and normative weights. The framework can structure such an analysis, but it cannot remove the need for transparent value judgments. Future applications should examine how stakeholder participation changes the candidate consequence set and the definition of material decision change.</w:t>
      </w:r>
    </w:p>
    <w:p>
      <w:r>
        <w:t>Finally, the decision-facing appraisal framework does not supply a universal rule for choosing among uncertain models. Decisions may still differ because of risk tolerance, equity weights, time horizons, or institutional responsibilities. Its value is diagnostic: it makes explicit when a named relationship is carrying more of the policy argument than the evidence over the relevant range can support.</w:t>
      </w:r>
    </w:p>
    <w:p>
      <w:pPr>
        <w:pStyle w:val="Heading1"/>
      </w:pPr>
      <w:r>
        <w:t>Conclusion</w:t>
      </w:r>
    </w:p>
    <w:p>
      <w:r>
        <w:t>Evidence-based policymaking should distinguish evidence for the existence of an association from evidence for the specific shape needed to justify a decision. Functional-form dependence identifies cases in which an insufficiently identified or transported shape determines a policy's threshold, direction, intensity, or expected benefit. The decision-facing appraisal framework does not imply automatic inaction. It requires analysts to expose the assumption, test the policy-relevant range, compare decisions under plausible alternatives, examine asymmetric consequences, and design policies that can learn or adapt where uncertainty remains. The practical principle is simple: before a canonical relationship is used to justify consequential policy, both the association and the decision-relevant shape should be validated.</w:t>
      </w:r>
    </w:p>
    <w:p>
      <w:pPr>
        <w:pStyle w:val="Heading1"/>
      </w:pPr>
      <w:r>
        <w:t>Data availability</w:t>
      </w:r>
    </w:p>
    <w:p>
      <w:r>
        <w:t>All data used in the analyses are from public sources. Archived source files, acquisition metadata, processed datasets, analysis code, machine-readable results, and document-generation code will be supplied to reviewers through an anonymized archive. The public repository URL is provided to the editor in the title-page materials and will be added to the manuscript after double-anonymous review. The archive README records the commands required to reproduce the analyses and submission files.</w:t>
      </w:r>
    </w:p>
    <w:p>
      <w:pPr>
        <w:pStyle w:val="Heading1"/>
      </w:pPr>
      <w:r>
        <w:t>Artificial intelligence assistance</w:t>
      </w:r>
    </w:p>
    <w:p>
      <w:r>
        <w:t>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p>
      <w:pPr>
        <w:pStyle w:val="Heading1"/>
      </w:pPr>
      <w:r>
        <w:t>References</w:t>
      </w:r>
    </w:p>
    <w:p>
      <w:r>
        <w:t>Abadie, A. (2021). Using synthetic controls: Feasibility, data requirements, and methodological aspects. Journal of Economic Literature, 59(2), 391-425. https://doi.org/10.1257/jel.20191450</w:t>
      </w:r>
    </w:p>
    <w:p>
      <w:r>
        <w:t>Abadie, A., Diamond, A., &amp; Hainmueller, J. (2010). Synthetic control methods for comparative case studies: Estimating the effect of California's tobacco control program. Journal of the American Statistical Association, 105(490), 493-505. https://doi.org/10.1198/jasa.2009.ap08746</w:t>
      </w:r>
    </w:p>
    <w:p>
      <w:r>
        <w:t>Abadie, A., Diamond, A., &amp; Hainmueller, J. (2015). Comparative politics and the synthetic control method. American Journal of Political Science, 59(2), 495-510. https://doi.org/10.1111/ajps.12116</w:t>
      </w:r>
    </w:p>
    <w:p>
      <w:r>
        <w:t>Autor, D. H. (2003). Outsourcing at will: The contribution of unjust dismissal doctrine to the growth of employment outsourcing. Journal of Labor Economics, 21(1), 1-42. https://doi.org/10.1086/344122</w:t>
      </w:r>
    </w:p>
    <w:p>
      <w:r>
        <w:t>Bertrand, M., Duflo, E., &amp; Mullainathan, S. (2004). How much should we trust differences-in-differences estimates? Quarterly Journal of Economics, 119(1), 249-275. https://doi.org/10.1162/003355304772839588</w:t>
      </w:r>
    </w:p>
    <w:p>
      <w:r>
        <w:t>Boswell, C. (2009). The political uses of expert knowledge: Immigration policy and social research. Cambridge University Press.</w:t>
      </w:r>
    </w:p>
    <w:p>
      <w:r>
        <w:t>Burnham, K. P., &amp; Anderson, D. R. (2004). Multimodel inference: Understanding AIC and BIC in model selection. Sociological Methods &amp; Research, 33(2), 261-304. https://doi.org/10.1177/0049124104268644</w:t>
      </w:r>
    </w:p>
    <w:p>
      <w:r>
        <w:t>Cairney, P. (2016). The politics of evidence-based policymaking. Palgrave Macmillan. https://doi.org/10.1057/978-1-137-51781-4</w:t>
      </w:r>
    </w:p>
    <w:p>
      <w:r>
        <w:t>Capano, G., &amp; Malandrino, A. (2022). Mapping the use of knowledge in policymaking: Barriers and facilitators from a subjectivist perspective (1990-2020). Policy Sciences, 55(3), 399-428. https://doi.org/10.1007/s11077-022-09468-0</w:t>
      </w:r>
    </w:p>
    <w:p>
      <w:r>
        <w:t>Capano, G., &amp; Woo, J. J. (2017). Resilience and robustness in policy design: A critical appraisal. Policy Sciences, 50(3), 399-426. https://doi.org/10.1007/s11077-016-9273-x</w:t>
      </w:r>
    </w:p>
    <w:p>
      <w:r>
        <w:t>Cartwright, N., &amp; Hardie, J. (2012). Evidence-based policy: A practical guide to doing it better. Oxford University Press.</w:t>
      </w:r>
    </w:p>
    <w:p>
      <w:r>
        <w:t>Cook, R. D. (1977). Detection of influential observation in linear regression. Technometrics, 19(1), 15-18. https://doi.org/10.1080/00401706.1977.10489493</w:t>
      </w:r>
    </w:p>
    <w:p>
      <w:r>
        <w:t>Draper, D. (1995). Assessment and propagation of model uncertainty. Journal of the Royal Statistical Society: Series B, 57(1), 45-70. https://doi.org/10.1111/j.2517-6161.1995.tb02015.x</w:t>
      </w:r>
    </w:p>
    <w:p>
      <w:r>
        <w:t>Dunlop, C. A. (2010). The temporal dimension of knowledge and the limits of policy appraisal: Biofuels policy in the UK. Policy Sciences, 43(4), 343-363. https://doi.org/10.1007/s11077-009-9101-7</w:t>
      </w:r>
    </w:p>
    <w:p>
      <w:r>
        <w:t>Fukushima Prefecture. (2014). Higashinihon daishinsai ni yoru higai jokyo sokuhou (dai 1260-ho) [Preliminary report on damage caused by the Great East Japan Earthquake (Report No. 1260)]. https://www.pref.fukushima.lg.jp/uploaded/attachment/422314.pdf</w:t>
      </w:r>
    </w:p>
    <w:p>
      <w:r>
        <w:t>Head, B. W. (2008). Three lenses of evidence-based policy. Australian Journal of Public Administration, 67(1), 1-11. https://doi.org/10.1111/j.1467-8500.2007.00564.x</w:t>
      </w:r>
    </w:p>
    <w:p>
      <w:r>
        <w:t>Howlett, M. (2019). Designing public policies: Principles and instruments (2nd ed.). Routledge. https://doi.org/10.4324/9781315232003</w:t>
      </w:r>
    </w:p>
    <w:p>
      <w:r>
        <w:t>International Commission on Radiological Protection. (2007). The 2007 recommendations of the International Commission on Radiological Protection. ICRP Publication 103. Annals of the ICRP, 37(2-4). https://doi.org/10.1016/j.icrp.2007.10.003</w:t>
      </w:r>
    </w:p>
    <w:p>
      <w:r>
        <w:t>Kansas Legislature. (2012). House Bill 2117, enrolled. https://www.kslegislature.gov/li_2012/b2011_12/measures/documents/hb2117_enrolled.pdf</w:t>
      </w:r>
    </w:p>
    <w:p>
      <w:r>
        <w:t>Kolkman, D. A., Campo, P., Balke-Visser, T., &amp; Gilbert, N. (2016). How to build models for government: Criteria driving model acceptance in policymaking. Policy Sciences, 49(4), 489-504. https://doi.org/10.1007/s11077-016-9250-4</w:t>
      </w:r>
    </w:p>
    <w:p>
      <w:r>
        <w:t>Laffer, A. B. (2004). The Laffer curve: Past, present, and future. Heritage Foundation Backgrounder, 1765, 1-16. https://www.heritage.org/taxes/report/the-laffer-curve-past-present-and-future</w:t>
      </w:r>
    </w:p>
    <w:p>
      <w:r>
        <w:t>Lempert, R. J., &amp; Collins, M. T. (2007). Managing the risk of uncertain threshold responses: Comparison of robust, optimum, and precautionary approaches. Risk Analysis, 27(4), 1009-1026. https://doi.org/10.1111/j.1539-6924.2007.00940.x</w:t>
      </w:r>
    </w:p>
    <w:p>
      <w:r>
        <w:t>Ministry of Health, Labour and Welfare. (2021). Vital statistics of Japan [Data set]. Portal Site of Official Statistics of Japan. https://www.e-stat.go.jp/en/stat-search/database?page=1&amp;toukei=00450011</w:t>
      </w:r>
    </w:p>
    <w:p>
      <w:r>
        <w:t>Ministry of Internal Affairs and Communications. (2021). Population, demographics, and household counts based on the Basic Resident Registration [Data set]. Portal Site of Official Statistics of Japan. https://www.e-stat.go.jp/en/stat-search/files?toukei=00200241</w:t>
      </w:r>
    </w:p>
    <w:p>
      <w:r>
        <w:t>Morgan, M. G., &amp; Henrion, M. (1990). Uncertainty: A guide to dealing with uncertainty in quantitative risk and policy analysis. Cambridge University Press.</w:t>
      </w:r>
    </w:p>
    <w:p>
      <w:r>
        <w:t>Parkhurst, J. O. (2016). Appeals to evidence for the resolution of wicked problems: The origins and mechanisms of evidentiary bias. Policy Sciences, 49(4), 373-393. https://doi.org/10.1007/s11077-016-9263-z</w:t>
      </w:r>
    </w:p>
    <w:p>
      <w:r>
        <w:t>Reconstruction Agency. (2026). Higashinihon daishinsai ni okeru shinsai-kanrenshi no shisha-su [Number of disaster-related deaths in the Great East Japan Earthquake] (as of February 13, 2026). https://www.reconstruction.go.jp/files/user/topics/main-cat2/sub-cat2-6/20260213_kanrenshi.pdf</w:t>
      </w:r>
    </w:p>
    <w:p>
      <w:r>
        <w:t>Roth, J., &amp; Sant'Anna, P. H. C. (2023). When is parallel trends sensitive to functional form? Econometrica, 91(2), 737-747. https://doi.org/10.3982/ECTA19402</w:t>
      </w:r>
    </w:p>
    <w:p>
      <w:r>
        <w:t>Rothschild, S. (2012, January 19). Consultant Laffer praises Brownback's tax plan. Lawrence Journal-World. https://www2.ljworld.com/news/2012/jan/19/consultant-laffer-touts-brownbacks-tax-plan/</w:t>
      </w:r>
    </w:p>
    <w:p>
      <w:r>
        <w:t>Saltelli, A., Bammer, G., Bruno, I., Charters, E., Di Fiore, M., Didier, E., Espeland, W. N., Kay, J., Lo Piano, S., Mayo, D., Pielke, R., Portaluri, T., Porter, T. M., Puy, A., Rafols, I., Ravetz, J. R., Reinert, E., Sarewitz, D., Stark, P. B., Stirling, A., van der Sluijs, J., &amp; Vineis, P. (2020). Five ways to ensure that models serve society: A manifesto. Nature, 582(7813), 482-484. https://doi.org/10.1038/d41586-020-01812-9</w:t>
      </w:r>
    </w:p>
    <w:p>
      <w:r>
        <w:t>United Nations Scientific Committee on the Effects of Atomic Radiation. (2014). Sources, effects and risks of ionizing radiation: UNSCEAR 2013 report, Volume I, Scientific Annex A. United Nations. https://www.unscear.org/unscear/uploads/documents/unscear-reports/UNSCEAR_2013_Report_Vol.I.pdf</w:t>
      </w:r>
    </w:p>
    <w:p>
      <w:r>
        <w:t>Walker, W. E., Haasnoot, M., &amp; Kwakkel, J. H. (2013). Adapt or perish: A review of planning approaches for adaptation under deep uncertainty. Sustainability, 5(3), 955-979. https://doi.org/10.3390/su5030955</w:t>
      </w:r>
    </w:p>
    <w:p>
      <w:r>
        <w:t>Weimer, D. L., &amp; Vining, A. R. (2017). Policy analysis: Concepts and practice (6th ed.). Routledge.</w:t>
      </w:r>
    </w:p>
    <w:p>
      <w:r>
        <w:t>Wesselink, A., Colebatch, H., &amp; Pearce, W. (2014). Evidence and policy: Discourses, meanings and practices. Policy Sciences, 47(4), 339-344. https://doi.org/10.1007/s11077-014-9209-2</w:t>
      </w:r>
    </w:p>
    <w:p>
      <w:r>
        <w:t>World Health Organization. (2013). Health risk assessment from the nuclear accident after the 2011 Great East Japan Earthquake and Tsunami, based on a preliminary dose estimation. World Health Organization. https://iris.who.int/handle/10665/78218</w:t>
      </w:r>
    </w:p>
    <w:p>
      <w:r>
        <w:t>ten Hoeve, J. E., &amp; Jacobson, M. Z. (2012). Worldwide health effects of the Fukushima Daiichi nuclear accident. Energy &amp; Environmental Science, 5(9), 8743-8757. https://doi.org/10.1039/C2EE22019A</w:t>
      </w:r>
    </w:p>
    <w:p>
      <w:pPr>
        <w:pStyle w:val="Heading1"/>
      </w:pPr>
      <w:r>
        <w:t>Figure legends</w:t>
      </w:r>
    </w:p>
    <w:p>
      <w:r>
        <w:t>Figure 1. Decision-facing appraisal framework for functional-form dependence. The framework links the empirical relationship and assumed shape to the policy-relevant range, decision sensitivity, asymmetric consequences, and an action architecture that can include commitment, staging, adaptation, or precaution.</w:t>
      </w:r>
    </w:p>
    <w:p>
      <w:r>
        <w:t>Figure 2. Diagnostic used in the cross-domain mapping exercise. Green paths continue toward robust nonlinear classification; orange paths indicate the first unmet criterion. Insufficient data is assigned when influence removal leaves too few observations for the nested comparison.</w:t>
      </w:r>
    </w:p>
    <w:p>
      <w:r>
        <w:t>Figure 3. Share of 50 relationship-dataset pairs not classified as robustly nonlinear across significance levels and Cook-distance removal counts. Cell labels report percentages; the color scale spans 0-100%.</w:t>
      </w:r>
    </w:p>
    <w:p>
      <w:r>
        <w:t>Figure 4. Pooled crude death rates in Fukushima treatment and control groups. T1 contains 10 mandatory-evacuation municipalities; T1w is the restricted complete-evacuation group; T2 contains comparison municipalities subject to other evacuation-related classifications. The shaded region is the 2012-2019 average-treatment-effect window.</w:t>
      </w:r>
    </w:p>
    <w:p>
      <w:r>
        <w:t>Figure 5. Preferred T1 event-study estimates using unweighted Fukushima municipal controls. Points are year-specific coefficients relative to the omitted reference year; bars are 95% confidence intervals. The acute disaster year 2011 is shown but excluded from the 2012-2019 average-treatment-effect window.</w:t>
      </w:r>
    </w:p>
    <w:p>
      <w:r>
        <w:t>Figure 6. T1 acute-phase mortality decomposition for 2011. Expected deaths are projected from the pre-disaster municipal trend; direct disaster deaths are reported by Fukushima Prefecture; residual excess is the arithmetic difference and is not assigned to a single cause.</w:t>
      </w:r>
    </w:p>
    <w:p>
      <w:r>
        <w:t>Figure 7. Kansas and synthetic Kansas, 1997-2019. Panel (a) reports log real individual income-tax revenue per capita; panel (b) reports log real GDP per capita. Synthetic controls use the main 33-state donor pool. Shading marks 2013-2017, between implementation and legislative reversal.</w:t>
      </w:r>
    </w:p>
    <w:p>
      <w:pPr>
        <w:pStyle w:val="Heading1"/>
      </w:pPr>
      <w:r>
        <w:t>Tables</w:t>
      </w:r>
    </w:p>
    <w:p>
      <w:pPr>
        <w:pStyle w:val="Caption"/>
      </w:pPr>
      <w:r>
        <w:t>Table 1. Cross-domain mapping classifications by category. Counts describe the purposive relationship-dataset inventory and are not prevalence estimates for scientific theories or literatures.</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t>Category</w:t>
            </w:r>
          </w:p>
        </w:tc>
        <w:tc>
          <w:tcPr>
            <w:tcW w:type="dxa" w:w="1378"/>
          </w:tcPr>
          <w:p>
            <w:r>
              <w:t>Robust nonlinear</w:t>
            </w:r>
          </w:p>
        </w:tc>
        <w:tc>
          <w:tcPr>
            <w:tcW w:type="dxa" w:w="1378"/>
          </w:tcPr>
          <w:p>
            <w:r>
              <w:t>Not significant</w:t>
            </w:r>
          </w:p>
        </w:tc>
        <w:tc>
          <w:tcPr>
            <w:tcW w:type="dxa" w:w="1378"/>
          </w:tcPr>
          <w:p>
            <w:r>
              <w:t>Outlier dependent</w:t>
            </w:r>
          </w:p>
        </w:tc>
        <w:tc>
          <w:tcPr>
            <w:tcW w:type="dxa" w:w="1378"/>
          </w:tcPr>
          <w:p>
            <w:r>
              <w:t>Overfitting</w:t>
            </w:r>
          </w:p>
        </w:tc>
        <w:tc>
          <w:tcPr>
            <w:tcW w:type="dxa" w:w="1378"/>
          </w:tcPr>
          <w:p>
            <w:r>
              <w:t>Insufficient data</w:t>
            </w:r>
          </w:p>
        </w:tc>
        <w:tc>
          <w:tcPr>
            <w:tcW w:type="dxa" w:w="1378"/>
          </w:tcPr>
          <w:p>
            <w:r>
              <w:t>Total</w:t>
            </w:r>
          </w:p>
        </w:tc>
      </w:tr>
      <w:tr>
        <w:tc>
          <w:tcPr>
            <w:tcW w:type="dxa" w:w="1378"/>
          </w:tcPr>
          <w:p>
            <w:r>
              <w:t>Agriculture</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1</w:t>
            </w:r>
          </w:p>
        </w:tc>
        <w:tc>
          <w:tcPr>
            <w:tcW w:type="dxa" w:w="1378"/>
          </w:tcPr>
          <w:p>
            <w:r>
              <w:t>4</w:t>
            </w:r>
          </w:p>
        </w:tc>
      </w:tr>
      <w:tr>
        <w:tc>
          <w:tcPr>
            <w:tcW w:type="dxa" w:w="1378"/>
          </w:tcPr>
          <w:p>
            <w:r>
              <w:t>Demography</w:t>
            </w:r>
          </w:p>
        </w:tc>
        <w:tc>
          <w:tcPr>
            <w:tcW w:type="dxa" w:w="1378"/>
          </w:tcPr>
          <w:p>
            <w:r>
              <w:t>2</w:t>
            </w:r>
          </w:p>
        </w:tc>
        <w:tc>
          <w:tcPr>
            <w:tcW w:type="dxa" w:w="1378"/>
          </w:tcPr>
          <w:p>
            <w:r>
              <w:t>3</w:t>
            </w:r>
          </w:p>
        </w:tc>
        <w:tc>
          <w:tcPr>
            <w:tcW w:type="dxa" w:w="1378"/>
          </w:tcPr>
          <w:p>
            <w:r>
              <w:t>0</w:t>
            </w:r>
          </w:p>
        </w:tc>
        <w:tc>
          <w:tcPr>
            <w:tcW w:type="dxa" w:w="1378"/>
          </w:tcPr>
          <w:p>
            <w:r>
              <w:t>0</w:t>
            </w:r>
          </w:p>
        </w:tc>
        <w:tc>
          <w:tcPr>
            <w:tcW w:type="dxa" w:w="1378"/>
          </w:tcPr>
          <w:p>
            <w:r>
              <w:t>1</w:t>
            </w:r>
          </w:p>
        </w:tc>
        <w:tc>
          <w:tcPr>
            <w:tcW w:type="dxa" w:w="1378"/>
          </w:tcPr>
          <w:p>
            <w:r>
              <w:t>6</w:t>
            </w:r>
          </w:p>
        </w:tc>
      </w:tr>
      <w:tr>
        <w:tc>
          <w:tcPr>
            <w:tcW w:type="dxa" w:w="1378"/>
          </w:tcPr>
          <w:p>
            <w:r>
              <w:t>Economics</w:t>
            </w:r>
          </w:p>
        </w:tc>
        <w:tc>
          <w:tcPr>
            <w:tcW w:type="dxa" w:w="1378"/>
          </w:tcPr>
          <w:p>
            <w:r>
              <w:t>3</w:t>
            </w:r>
          </w:p>
        </w:tc>
        <w:tc>
          <w:tcPr>
            <w:tcW w:type="dxa" w:w="1378"/>
          </w:tcPr>
          <w:p>
            <w:r>
              <w:t>8</w:t>
            </w:r>
          </w:p>
        </w:tc>
        <w:tc>
          <w:tcPr>
            <w:tcW w:type="dxa" w:w="1378"/>
          </w:tcPr>
          <w:p>
            <w:r>
              <w:t>1</w:t>
            </w:r>
          </w:p>
        </w:tc>
        <w:tc>
          <w:tcPr>
            <w:tcW w:type="dxa" w:w="1378"/>
          </w:tcPr>
          <w:p>
            <w:r>
              <w:t>0</w:t>
            </w:r>
          </w:p>
        </w:tc>
        <w:tc>
          <w:tcPr>
            <w:tcW w:type="dxa" w:w="1378"/>
          </w:tcPr>
          <w:p>
            <w:r>
              <w:t>0</w:t>
            </w:r>
          </w:p>
        </w:tc>
        <w:tc>
          <w:tcPr>
            <w:tcW w:type="dxa" w:w="1378"/>
          </w:tcPr>
          <w:p>
            <w:r>
              <w:t>12</w:t>
            </w:r>
          </w:p>
        </w:tc>
      </w:tr>
      <w:tr>
        <w:tc>
          <w:tcPr>
            <w:tcW w:type="dxa" w:w="1378"/>
          </w:tcPr>
          <w:p>
            <w:r>
              <w:t>Environmental Science</w:t>
            </w:r>
          </w:p>
        </w:tc>
        <w:tc>
          <w:tcPr>
            <w:tcW w:type="dxa" w:w="1378"/>
          </w:tcPr>
          <w:p>
            <w:r>
              <w:t>2</w:t>
            </w:r>
          </w:p>
        </w:tc>
        <w:tc>
          <w:tcPr>
            <w:tcW w:type="dxa" w:w="1378"/>
          </w:tcPr>
          <w:p>
            <w:r>
              <w:t>3</w:t>
            </w:r>
          </w:p>
        </w:tc>
        <w:tc>
          <w:tcPr>
            <w:tcW w:type="dxa" w:w="1378"/>
          </w:tcPr>
          <w:p>
            <w:r>
              <w:t>1</w:t>
            </w:r>
          </w:p>
        </w:tc>
        <w:tc>
          <w:tcPr>
            <w:tcW w:type="dxa" w:w="1378"/>
          </w:tcPr>
          <w:p>
            <w:r>
              <w:t>0</w:t>
            </w:r>
          </w:p>
        </w:tc>
        <w:tc>
          <w:tcPr>
            <w:tcW w:type="dxa" w:w="1378"/>
          </w:tcPr>
          <w:p>
            <w:r>
              <w:t>0</w:t>
            </w:r>
          </w:p>
        </w:tc>
        <w:tc>
          <w:tcPr>
            <w:tcW w:type="dxa" w:w="1378"/>
          </w:tcPr>
          <w:p>
            <w:r>
              <w:t>6</w:t>
            </w:r>
          </w:p>
        </w:tc>
      </w:tr>
      <w:tr>
        <w:tc>
          <w:tcPr>
            <w:tcW w:type="dxa" w:w="1378"/>
          </w:tcPr>
          <w:p>
            <w:r>
              <w:t>Physics</w:t>
            </w:r>
          </w:p>
        </w:tc>
        <w:tc>
          <w:tcPr>
            <w:tcW w:type="dxa" w:w="1378"/>
          </w:tcPr>
          <w:p>
            <w:r>
              <w:t>1</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4</w:t>
            </w:r>
          </w:p>
        </w:tc>
      </w:tr>
      <w:tr>
        <w:tc>
          <w:tcPr>
            <w:tcW w:type="dxa" w:w="1378"/>
          </w:tcPr>
          <w:p>
            <w:r>
              <w:t>Political Science</w:t>
            </w:r>
          </w:p>
        </w:tc>
        <w:tc>
          <w:tcPr>
            <w:tcW w:type="dxa" w:w="1378"/>
          </w:tcPr>
          <w:p>
            <w:r>
              <w:t>2</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5</w:t>
            </w:r>
          </w:p>
        </w:tc>
      </w:tr>
      <w:tr>
        <w:tc>
          <w:tcPr>
            <w:tcW w:type="dxa" w:w="1378"/>
          </w:tcPr>
          <w:p>
            <w:r>
              <w:t>Psychology</w:t>
            </w:r>
          </w:p>
        </w:tc>
        <w:tc>
          <w:tcPr>
            <w:tcW w:type="dxa" w:w="1378"/>
          </w:tcPr>
          <w:p>
            <w:r>
              <w:t>1</w:t>
            </w:r>
          </w:p>
        </w:tc>
        <w:tc>
          <w:tcPr>
            <w:tcW w:type="dxa" w:w="1378"/>
          </w:tcPr>
          <w:p>
            <w:r>
              <w:t>2</w:t>
            </w:r>
          </w:p>
        </w:tc>
        <w:tc>
          <w:tcPr>
            <w:tcW w:type="dxa" w:w="1378"/>
          </w:tcPr>
          <w:p>
            <w:r>
              <w:t>0</w:t>
            </w:r>
          </w:p>
        </w:tc>
        <w:tc>
          <w:tcPr>
            <w:tcW w:type="dxa" w:w="1378"/>
          </w:tcPr>
          <w:p>
            <w:r>
              <w:t>0</w:t>
            </w:r>
          </w:p>
        </w:tc>
        <w:tc>
          <w:tcPr>
            <w:tcW w:type="dxa" w:w="1378"/>
          </w:tcPr>
          <w:p>
            <w:r>
              <w:t>0</w:t>
            </w:r>
          </w:p>
        </w:tc>
        <w:tc>
          <w:tcPr>
            <w:tcW w:type="dxa" w:w="1378"/>
          </w:tcPr>
          <w:p>
            <w:r>
              <w:t>3</w:t>
            </w:r>
          </w:p>
        </w:tc>
      </w:tr>
      <w:tr>
        <w:tc>
          <w:tcPr>
            <w:tcW w:type="dxa" w:w="1378"/>
          </w:tcPr>
          <w:p>
            <w:r>
              <w:t>Public Health</w:t>
            </w:r>
          </w:p>
        </w:tc>
        <w:tc>
          <w:tcPr>
            <w:tcW w:type="dxa" w:w="1378"/>
          </w:tcPr>
          <w:p>
            <w:r>
              <w:t>3</w:t>
            </w:r>
          </w:p>
        </w:tc>
        <w:tc>
          <w:tcPr>
            <w:tcW w:type="dxa" w:w="1378"/>
          </w:tcPr>
          <w:p>
            <w:r>
              <w:t>6</w:t>
            </w:r>
          </w:p>
        </w:tc>
        <w:tc>
          <w:tcPr>
            <w:tcW w:type="dxa" w:w="1378"/>
          </w:tcPr>
          <w:p>
            <w:r>
              <w:t>0</w:t>
            </w:r>
          </w:p>
        </w:tc>
        <w:tc>
          <w:tcPr>
            <w:tcW w:type="dxa" w:w="1378"/>
          </w:tcPr>
          <w:p>
            <w:r>
              <w:t>1</w:t>
            </w:r>
          </w:p>
        </w:tc>
        <w:tc>
          <w:tcPr>
            <w:tcW w:type="dxa" w:w="1378"/>
          </w:tcPr>
          <w:p>
            <w:r>
              <w:t>0</w:t>
            </w:r>
          </w:p>
        </w:tc>
        <w:tc>
          <w:tcPr>
            <w:tcW w:type="dxa" w:w="1378"/>
          </w:tcPr>
          <w:p>
            <w:r>
              <w:t>10</w:t>
            </w:r>
          </w:p>
        </w:tc>
      </w:tr>
      <w:tr>
        <w:tc>
          <w:tcPr>
            <w:tcW w:type="dxa" w:w="1378"/>
          </w:tcPr>
          <w:p>
            <w:r>
              <w:t>Total</w:t>
            </w:r>
          </w:p>
        </w:tc>
        <w:tc>
          <w:tcPr>
            <w:tcW w:type="dxa" w:w="1378"/>
          </w:tcPr>
          <w:p>
            <w:r>
              <w:t>16</w:t>
            </w:r>
          </w:p>
        </w:tc>
        <w:tc>
          <w:tcPr>
            <w:tcW w:type="dxa" w:w="1378"/>
          </w:tcPr>
          <w:p>
            <w:r>
              <w:t>27</w:t>
            </w:r>
          </w:p>
        </w:tc>
        <w:tc>
          <w:tcPr>
            <w:tcW w:type="dxa" w:w="1378"/>
          </w:tcPr>
          <w:p>
            <w:r>
              <w:t>4</w:t>
            </w:r>
          </w:p>
        </w:tc>
        <w:tc>
          <w:tcPr>
            <w:tcW w:type="dxa" w:w="1378"/>
          </w:tcPr>
          <w:p>
            <w:r>
              <w:t>1</w:t>
            </w:r>
          </w:p>
        </w:tc>
        <w:tc>
          <w:tcPr>
            <w:tcW w:type="dxa" w:w="1378"/>
          </w:tcPr>
          <w:p>
            <w:r>
              <w:t>2</w:t>
            </w:r>
          </w:p>
        </w:tc>
        <w:tc>
          <w:tcPr>
            <w:tcW w:type="dxa" w:w="1378"/>
          </w:tcPr>
          <w:p>
            <w:r>
              <w:t>50</w:t>
            </w:r>
          </w:p>
        </w:tc>
      </w:tr>
    </w:tbl>
    <w:p>
      <w:pPr>
        <w:pStyle w:val="Caption"/>
      </w:pPr>
      <w:r>
        <w:t>Table 2. Fukushima difference-in-differences estimates. ATT is the 2012-2019 average difference in log crude death rates; 2011 is excluded. Permutation p values use 1000 assignments. Implied deaths are descriptive transformations of recorded municipal deaths and are not causal death counts.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t>Group</w:t>
            </w:r>
          </w:p>
        </w:tc>
        <w:tc>
          <w:tcPr>
            <w:tcW w:type="dxa" w:w="1206"/>
          </w:tcPr>
          <w:p>
            <w:r>
              <w:t>Controls</w:t>
            </w:r>
          </w:p>
        </w:tc>
        <w:tc>
          <w:tcPr>
            <w:tcW w:type="dxa" w:w="1206"/>
          </w:tcPr>
          <w:p>
            <w:r>
              <w:t>Weighting</w:t>
            </w:r>
          </w:p>
        </w:tc>
        <w:tc>
          <w:tcPr>
            <w:tcW w:type="dxa" w:w="1206"/>
          </w:tcPr>
          <w:p>
            <w:r>
              <w:t>Age control</w:t>
            </w:r>
          </w:p>
        </w:tc>
        <w:tc>
          <w:tcPr>
            <w:tcW w:type="dxa" w:w="1206"/>
          </w:tcPr>
          <w:p>
            <w:r>
              <w:t>ATT (log points)</w:t>
            </w:r>
          </w:p>
        </w:tc>
        <w:tc>
          <w:tcPr>
            <w:tcW w:type="dxa" w:w="1206"/>
          </w:tcPr>
          <w:p>
            <w:r>
              <w:t>Permutation p</w:t>
            </w:r>
          </w:p>
        </w:tc>
        <w:tc>
          <w:tcPr>
            <w:tcW w:type="dxa" w:w="1206"/>
          </w:tcPr>
          <w:p>
            <w:r>
              <w:t>Pre-trend p</w:t>
            </w:r>
          </w:p>
        </w:tc>
        <w:tc>
          <w:tcPr>
            <w:tcW w:type="dxa" w:w="1206"/>
          </w:tcPr>
          <w:p>
            <w:r>
              <w:t>Implied deaths 2012-2019</w:t>
            </w:r>
          </w:p>
        </w:tc>
      </w:tr>
      <w:tr>
        <w:tc>
          <w:tcPr>
            <w:tcW w:type="dxa" w:w="1206"/>
          </w:tcPr>
          <w:p>
            <w:r>
              <w:t>T1</w:t>
            </w:r>
          </w:p>
        </w:tc>
        <w:tc>
          <w:tcPr>
            <w:tcW w:type="dxa" w:w="1206"/>
          </w:tcPr>
          <w:p>
            <w:r>
              <w:t>All prefectures</w:t>
            </w:r>
          </w:p>
        </w:tc>
        <w:tc>
          <w:tcPr>
            <w:tcW w:type="dxa" w:w="1206"/>
          </w:tcPr>
          <w:p>
            <w:r>
              <w:t>Weighted</w:t>
            </w:r>
          </w:p>
        </w:tc>
        <w:tc>
          <w:tcPr>
            <w:tcW w:type="dxa" w:w="1206"/>
          </w:tcPr>
          <w:p>
            <w:r>
              <w:t>No</w:t>
            </w:r>
          </w:p>
        </w:tc>
        <w:tc>
          <w:tcPr>
            <w:tcW w:type="dxa" w:w="1206"/>
          </w:tcPr>
          <w:p>
            <w:r>
              <w:t>-0.057</w:t>
            </w:r>
          </w:p>
        </w:tc>
        <w:tc>
          <w:tcPr>
            <w:tcW w:type="dxa" w:w="1206"/>
          </w:tcPr>
          <w:p>
            <w:r>
              <w:t>0.002</w:t>
            </w:r>
          </w:p>
        </w:tc>
        <w:tc>
          <w:tcPr>
            <w:tcW w:type="dxa" w:w="1206"/>
          </w:tcPr>
          <w:p>
            <w:r>
              <w:t>0.268</w:t>
            </w:r>
          </w:p>
        </w:tc>
        <w:tc>
          <w:tcPr>
            <w:tcW w:type="dxa" w:w="1206"/>
          </w:tcPr>
          <w:p>
            <w:r>
              <w:t>-877</w:t>
            </w:r>
          </w:p>
        </w:tc>
      </w:tr>
      <w:tr>
        <w:tc>
          <w:tcPr>
            <w:tcW w:type="dxa" w:w="1206"/>
          </w:tcPr>
          <w:p>
            <w:r>
              <w:t>T1</w:t>
            </w:r>
          </w:p>
        </w:tc>
        <w:tc>
          <w:tcPr>
            <w:tcW w:type="dxa" w:w="1206"/>
          </w:tcPr>
          <w:p>
            <w:r>
              <w:t>All prefectures</w:t>
            </w:r>
          </w:p>
        </w:tc>
        <w:tc>
          <w:tcPr>
            <w:tcW w:type="dxa" w:w="1206"/>
          </w:tcPr>
          <w:p>
            <w:r>
              <w:t>Weighted</w:t>
            </w:r>
          </w:p>
        </w:tc>
        <w:tc>
          <w:tcPr>
            <w:tcW w:type="dxa" w:w="1206"/>
          </w:tcPr>
          <w:p>
            <w:r>
              <w:t>Yes</w:t>
            </w:r>
          </w:p>
        </w:tc>
        <w:tc>
          <w:tcPr>
            <w:tcW w:type="dxa" w:w="1206"/>
          </w:tcPr>
          <w:p>
            <w:r>
              <w:t>-0.066</w:t>
            </w:r>
          </w:p>
        </w:tc>
        <w:tc>
          <w:tcPr>
            <w:tcW w:type="dxa" w:w="1206"/>
          </w:tcPr>
          <w:p>
            <w:r>
              <w:t>&lt; 0.001</w:t>
            </w:r>
          </w:p>
        </w:tc>
        <w:tc>
          <w:tcPr>
            <w:tcW w:type="dxa" w:w="1206"/>
          </w:tcPr>
          <w:p>
            <w:r>
              <w:t>0.335</w:t>
            </w:r>
          </w:p>
        </w:tc>
        <w:tc>
          <w:tcPr>
            <w:tcW w:type="dxa" w:w="1206"/>
          </w:tcPr>
          <w:p>
            <w:r>
              <w:t>-1,018</w:t>
            </w:r>
          </w:p>
        </w:tc>
      </w:tr>
      <w:tr>
        <w:tc>
          <w:tcPr>
            <w:tcW w:type="dxa" w:w="1206"/>
          </w:tcPr>
          <w:p>
            <w:r>
              <w:t>T1</w:t>
            </w:r>
          </w:p>
        </w:tc>
        <w:tc>
          <w:tcPr>
            <w:tcW w:type="dxa" w:w="1206"/>
          </w:tcPr>
          <w:p>
            <w:r>
              <w:t>All prefectures</w:t>
            </w:r>
          </w:p>
        </w:tc>
        <w:tc>
          <w:tcPr>
            <w:tcW w:type="dxa" w:w="1206"/>
          </w:tcPr>
          <w:p>
            <w:r>
              <w:t>Unweighted</w:t>
            </w:r>
          </w:p>
        </w:tc>
        <w:tc>
          <w:tcPr>
            <w:tcW w:type="dxa" w:w="1206"/>
          </w:tcPr>
          <w:p>
            <w:r>
              <w:t>No</w:t>
            </w:r>
          </w:p>
        </w:tc>
        <w:tc>
          <w:tcPr>
            <w:tcW w:type="dxa" w:w="1206"/>
          </w:tcPr>
          <w:p>
            <w:r>
              <w:t>-0.072</w:t>
            </w:r>
          </w:p>
        </w:tc>
        <w:tc>
          <w:tcPr>
            <w:tcW w:type="dxa" w:w="1206"/>
          </w:tcPr>
          <w:p>
            <w:r>
              <w:t>0.002</w:t>
            </w:r>
          </w:p>
        </w:tc>
        <w:tc>
          <w:tcPr>
            <w:tcW w:type="dxa" w:w="1206"/>
          </w:tcPr>
          <w:p>
            <w:r>
              <w:t>0.039</w:t>
            </w:r>
          </w:p>
        </w:tc>
        <w:tc>
          <w:tcPr>
            <w:tcW w:type="dxa" w:w="1206"/>
          </w:tcPr>
          <w:p>
            <w:r>
              <w:t>-1,123</w:t>
            </w:r>
          </w:p>
        </w:tc>
      </w:tr>
      <w:tr>
        <w:tc>
          <w:tcPr>
            <w:tcW w:type="dxa" w:w="1206"/>
          </w:tcPr>
          <w:p>
            <w:r>
              <w:t>T1</w:t>
            </w:r>
          </w:p>
        </w:tc>
        <w:tc>
          <w:tcPr>
            <w:tcW w:type="dxa" w:w="1206"/>
          </w:tcPr>
          <w:p>
            <w:r>
              <w:t>All prefectures</w:t>
            </w:r>
          </w:p>
        </w:tc>
        <w:tc>
          <w:tcPr>
            <w:tcW w:type="dxa" w:w="1206"/>
          </w:tcPr>
          <w:p>
            <w:r>
              <w:t>Unweighted</w:t>
            </w:r>
          </w:p>
        </w:tc>
        <w:tc>
          <w:tcPr>
            <w:tcW w:type="dxa" w:w="1206"/>
          </w:tcPr>
          <w:p>
            <w:r>
              <w:t>Yes</w:t>
            </w:r>
          </w:p>
        </w:tc>
        <w:tc>
          <w:tcPr>
            <w:tcW w:type="dxa" w:w="1206"/>
          </w:tcPr>
          <w:p>
            <w:r>
              <w:t>-0.072</w:t>
            </w:r>
          </w:p>
        </w:tc>
        <w:tc>
          <w:tcPr>
            <w:tcW w:type="dxa" w:w="1206"/>
          </w:tcPr>
          <w:p>
            <w:r>
              <w:t>&lt; 0.001</w:t>
            </w:r>
          </w:p>
        </w:tc>
        <w:tc>
          <w:tcPr>
            <w:tcW w:type="dxa" w:w="1206"/>
          </w:tcPr>
          <w:p>
            <w:r>
              <w:t>0.035</w:t>
            </w:r>
          </w:p>
        </w:tc>
        <w:tc>
          <w:tcPr>
            <w:tcW w:type="dxa" w:w="1206"/>
          </w:tcPr>
          <w:p>
            <w:r>
              <w:t>-1,109</w:t>
            </w:r>
          </w:p>
        </w:tc>
      </w:tr>
      <w:tr>
        <w:tc>
          <w:tcPr>
            <w:tcW w:type="dxa" w:w="1206"/>
          </w:tcPr>
          <w:p>
            <w:r>
              <w:t>T1</w:t>
            </w:r>
          </w:p>
        </w:tc>
        <w:tc>
          <w:tcPr>
            <w:tcW w:type="dxa" w:w="1206"/>
          </w:tcPr>
          <w:p>
            <w:r>
              <w:t>Fukushima only</w:t>
            </w:r>
          </w:p>
        </w:tc>
        <w:tc>
          <w:tcPr>
            <w:tcW w:type="dxa" w:w="1206"/>
          </w:tcPr>
          <w:p>
            <w:r>
              <w:t>Weighted</w:t>
            </w:r>
          </w:p>
        </w:tc>
        <w:tc>
          <w:tcPr>
            <w:tcW w:type="dxa" w:w="1206"/>
          </w:tcPr>
          <w:p>
            <w:r>
              <w:t>No</w:t>
            </w:r>
          </w:p>
        </w:tc>
        <w:tc>
          <w:tcPr>
            <w:tcW w:type="dxa" w:w="1206"/>
          </w:tcPr>
          <w:p>
            <w:r>
              <w:t>-0.085</w:t>
            </w:r>
          </w:p>
        </w:tc>
        <w:tc>
          <w:tcPr>
            <w:tcW w:type="dxa" w:w="1206"/>
          </w:tcPr>
          <w:p>
            <w:r>
              <w:t>&lt; 0.001</w:t>
            </w:r>
          </w:p>
        </w:tc>
        <w:tc>
          <w:tcPr>
            <w:tcW w:type="dxa" w:w="1206"/>
          </w:tcPr>
          <w:p>
            <w:r>
              <w:t>0.847</w:t>
            </w:r>
          </w:p>
        </w:tc>
        <w:tc>
          <w:tcPr>
            <w:tcW w:type="dxa" w:w="1206"/>
          </w:tcPr>
          <w:p>
            <w:r>
              <w:t>-1,333</w:t>
            </w:r>
          </w:p>
        </w:tc>
      </w:tr>
      <w:tr>
        <w:tc>
          <w:tcPr>
            <w:tcW w:type="dxa" w:w="1206"/>
          </w:tcPr>
          <w:p>
            <w:r>
              <w:t>T1</w:t>
            </w:r>
          </w:p>
        </w:tc>
        <w:tc>
          <w:tcPr>
            <w:tcW w:type="dxa" w:w="1206"/>
          </w:tcPr>
          <w:p>
            <w:r>
              <w:t>Fukushima only</w:t>
            </w:r>
          </w:p>
        </w:tc>
        <w:tc>
          <w:tcPr>
            <w:tcW w:type="dxa" w:w="1206"/>
          </w:tcPr>
          <w:p>
            <w:r>
              <w:t>Weighted</w:t>
            </w:r>
          </w:p>
        </w:tc>
        <w:tc>
          <w:tcPr>
            <w:tcW w:type="dxa" w:w="1206"/>
          </w:tcPr>
          <w:p>
            <w:r>
              <w:t>Yes</w:t>
            </w:r>
          </w:p>
        </w:tc>
        <w:tc>
          <w:tcPr>
            <w:tcW w:type="dxa" w:w="1206"/>
          </w:tcPr>
          <w:p>
            <w:r>
              <w:t>-0.083</w:t>
            </w:r>
          </w:p>
        </w:tc>
        <w:tc>
          <w:tcPr>
            <w:tcW w:type="dxa" w:w="1206"/>
          </w:tcPr>
          <w:p>
            <w:r>
              <w:t>&lt; 0.001</w:t>
            </w:r>
          </w:p>
        </w:tc>
        <w:tc>
          <w:tcPr>
            <w:tcW w:type="dxa" w:w="1206"/>
          </w:tcPr>
          <w:p>
            <w:r>
              <w:t>0.863</w:t>
            </w:r>
          </w:p>
        </w:tc>
        <w:tc>
          <w:tcPr>
            <w:tcW w:type="dxa" w:w="1206"/>
          </w:tcPr>
          <w:p>
            <w:r>
              <w:t>-1,291</w:t>
            </w:r>
          </w:p>
        </w:tc>
      </w:tr>
      <w:tr>
        <w:tc>
          <w:tcPr>
            <w:tcW w:type="dxa" w:w="1206"/>
          </w:tcPr>
          <w:p>
            <w:r>
              <w:t>T1</w:t>
            </w:r>
          </w:p>
        </w:tc>
        <w:tc>
          <w:tcPr>
            <w:tcW w:type="dxa" w:w="1206"/>
          </w:tcPr>
          <w:p>
            <w:r>
              <w:t>Fukushima only</w:t>
            </w:r>
          </w:p>
        </w:tc>
        <w:tc>
          <w:tcPr>
            <w:tcW w:type="dxa" w:w="1206"/>
          </w:tcPr>
          <w:p>
            <w:r>
              <w:t>Unweighted</w:t>
            </w:r>
          </w:p>
        </w:tc>
        <w:tc>
          <w:tcPr>
            <w:tcW w:type="dxa" w:w="1206"/>
          </w:tcPr>
          <w:p>
            <w:r>
              <w:t>No</w:t>
            </w:r>
          </w:p>
        </w:tc>
        <w:tc>
          <w:tcPr>
            <w:tcW w:type="dxa" w:w="1206"/>
          </w:tcPr>
          <w:p>
            <w:r>
              <w:t>-0.085</w:t>
            </w:r>
          </w:p>
        </w:tc>
        <w:tc>
          <w:tcPr>
            <w:tcW w:type="dxa" w:w="1206"/>
          </w:tcPr>
          <w:p>
            <w:r>
              <w:t>0.001</w:t>
            </w:r>
          </w:p>
        </w:tc>
        <w:tc>
          <w:tcPr>
            <w:tcW w:type="dxa" w:w="1206"/>
          </w:tcPr>
          <w:p>
            <w:r>
              <w:t>0.314</w:t>
            </w:r>
          </w:p>
        </w:tc>
        <w:tc>
          <w:tcPr>
            <w:tcW w:type="dxa" w:w="1206"/>
          </w:tcPr>
          <w:p>
            <w:r>
              <w:t>-1,322</w:t>
            </w:r>
          </w:p>
        </w:tc>
      </w:tr>
      <w:tr>
        <w:tc>
          <w:tcPr>
            <w:tcW w:type="dxa" w:w="1206"/>
          </w:tcPr>
          <w:p>
            <w:r>
              <w:t>T1</w:t>
            </w:r>
          </w:p>
        </w:tc>
        <w:tc>
          <w:tcPr>
            <w:tcW w:type="dxa" w:w="1206"/>
          </w:tcPr>
          <w:p>
            <w:r>
              <w:t>Fukushima only</w:t>
            </w:r>
          </w:p>
        </w:tc>
        <w:tc>
          <w:tcPr>
            <w:tcW w:type="dxa" w:w="1206"/>
          </w:tcPr>
          <w:p>
            <w:r>
              <w:t>Unweighted</w:t>
            </w:r>
          </w:p>
        </w:tc>
        <w:tc>
          <w:tcPr>
            <w:tcW w:type="dxa" w:w="1206"/>
          </w:tcPr>
          <w:p>
            <w:r>
              <w:t>Yes</w:t>
            </w:r>
          </w:p>
        </w:tc>
        <w:tc>
          <w:tcPr>
            <w:tcW w:type="dxa" w:w="1206"/>
          </w:tcPr>
          <w:p>
            <w:r>
              <w:t>-0.079</w:t>
            </w:r>
          </w:p>
        </w:tc>
        <w:tc>
          <w:tcPr>
            <w:tcW w:type="dxa" w:w="1206"/>
          </w:tcPr>
          <w:p>
            <w:r>
              <w:t>0.005</w:t>
            </w:r>
          </w:p>
        </w:tc>
        <w:tc>
          <w:tcPr>
            <w:tcW w:type="dxa" w:w="1206"/>
          </w:tcPr>
          <w:p>
            <w:r>
              <w:t>0.275</w:t>
            </w:r>
          </w:p>
        </w:tc>
        <w:tc>
          <w:tcPr>
            <w:tcW w:type="dxa" w:w="1206"/>
          </w:tcPr>
          <w:p>
            <w:r>
              <w:t>-1,224</w:t>
            </w:r>
          </w:p>
        </w:tc>
      </w:tr>
      <w:tr>
        <w:tc>
          <w:tcPr>
            <w:tcW w:type="dxa" w:w="1206"/>
          </w:tcPr>
          <w:p>
            <w:r>
              <w:t>T1w</w:t>
            </w:r>
          </w:p>
        </w:tc>
        <w:tc>
          <w:tcPr>
            <w:tcW w:type="dxa" w:w="1206"/>
          </w:tcPr>
          <w:p>
            <w:r>
              <w:t>All prefectures</w:t>
            </w:r>
          </w:p>
        </w:tc>
        <w:tc>
          <w:tcPr>
            <w:tcW w:type="dxa" w:w="1206"/>
          </w:tcPr>
          <w:p>
            <w:r>
              <w:t>Unweighted</w:t>
            </w:r>
          </w:p>
        </w:tc>
        <w:tc>
          <w:tcPr>
            <w:tcW w:type="dxa" w:w="1206"/>
          </w:tcPr>
          <w:p>
            <w:r>
              <w:t>No</w:t>
            </w:r>
          </w:p>
        </w:tc>
        <w:tc>
          <w:tcPr>
            <w:tcW w:type="dxa" w:w="1206"/>
          </w:tcPr>
          <w:p>
            <w:r>
              <w:t>-0.116</w:t>
            </w:r>
          </w:p>
        </w:tc>
        <w:tc>
          <w:tcPr>
            <w:tcW w:type="dxa" w:w="1206"/>
          </w:tcPr>
          <w:p>
            <w:r>
              <w:t>0.003</w:t>
            </w:r>
          </w:p>
        </w:tc>
        <w:tc>
          <w:tcPr>
            <w:tcW w:type="dxa" w:w="1206"/>
          </w:tcPr>
          <w:p>
            <w:r>
              <w:t>0.170</w:t>
            </w:r>
          </w:p>
        </w:tc>
        <w:tc>
          <w:tcPr>
            <w:tcW w:type="dxa" w:w="1206"/>
          </w:tcPr>
          <w:p>
            <w:r>
              <w:t>-405</w:t>
            </w:r>
          </w:p>
        </w:tc>
      </w:tr>
      <w:tr>
        <w:tc>
          <w:tcPr>
            <w:tcW w:type="dxa" w:w="1206"/>
          </w:tcPr>
          <w:p>
            <w:r>
              <w:t>T1w</w:t>
            </w:r>
          </w:p>
        </w:tc>
        <w:tc>
          <w:tcPr>
            <w:tcW w:type="dxa" w:w="1206"/>
          </w:tcPr>
          <w:p>
            <w:r>
              <w:t>Fukushima only</w:t>
            </w:r>
          </w:p>
        </w:tc>
        <w:tc>
          <w:tcPr>
            <w:tcW w:type="dxa" w:w="1206"/>
          </w:tcPr>
          <w:p>
            <w:r>
              <w:t>Unweighted</w:t>
            </w:r>
          </w:p>
        </w:tc>
        <w:tc>
          <w:tcPr>
            <w:tcW w:type="dxa" w:w="1206"/>
          </w:tcPr>
          <w:p>
            <w:r>
              <w:t>No</w:t>
            </w:r>
          </w:p>
        </w:tc>
        <w:tc>
          <w:tcPr>
            <w:tcW w:type="dxa" w:w="1206"/>
          </w:tcPr>
          <w:p>
            <w:r>
              <w:t>-0.129</w:t>
            </w:r>
          </w:p>
        </w:tc>
        <w:tc>
          <w:tcPr>
            <w:tcW w:type="dxa" w:w="1206"/>
          </w:tcPr>
          <w:p>
            <w:r>
              <w:t>&lt; 0.001</w:t>
            </w:r>
          </w:p>
        </w:tc>
        <w:tc>
          <w:tcPr>
            <w:tcW w:type="dxa" w:w="1206"/>
          </w:tcPr>
          <w:p>
            <w:r>
              <w:t>0.498</w:t>
            </w:r>
          </w:p>
        </w:tc>
        <w:tc>
          <w:tcPr>
            <w:tcW w:type="dxa" w:w="1206"/>
          </w:tcPr>
          <w:p>
            <w:r>
              <w:t>-451</w:t>
            </w:r>
          </w:p>
        </w:tc>
      </w:tr>
      <w:tr>
        <w:tc>
          <w:tcPr>
            <w:tcW w:type="dxa" w:w="1206"/>
          </w:tcPr>
          <w:p>
            <w:r>
              <w:t>T2</w:t>
            </w:r>
          </w:p>
        </w:tc>
        <w:tc>
          <w:tcPr>
            <w:tcW w:type="dxa" w:w="1206"/>
          </w:tcPr>
          <w:p>
            <w:r>
              <w:t>All prefectures</w:t>
            </w:r>
          </w:p>
        </w:tc>
        <w:tc>
          <w:tcPr>
            <w:tcW w:type="dxa" w:w="1206"/>
          </w:tcPr>
          <w:p>
            <w:r>
              <w:t>Unweighted</w:t>
            </w:r>
          </w:p>
        </w:tc>
        <w:tc>
          <w:tcPr>
            <w:tcW w:type="dxa" w:w="1206"/>
          </w:tcPr>
          <w:p>
            <w:r>
              <w:t>No</w:t>
            </w:r>
          </w:p>
        </w:tc>
        <w:tc>
          <w:tcPr>
            <w:tcW w:type="dxa" w:w="1206"/>
          </w:tcPr>
          <w:p>
            <w:r>
              <w:t>-0.022</w:t>
            </w:r>
          </w:p>
        </w:tc>
        <w:tc>
          <w:tcPr>
            <w:tcW w:type="dxa" w:w="1206"/>
          </w:tcPr>
          <w:p>
            <w:r>
              <w:t>0.581</w:t>
            </w:r>
          </w:p>
        </w:tc>
        <w:tc>
          <w:tcPr>
            <w:tcW w:type="dxa" w:w="1206"/>
          </w:tcPr>
          <w:p>
            <w:r>
              <w:t>0.829</w:t>
            </w:r>
          </w:p>
        </w:tc>
        <w:tc>
          <w:tcPr>
            <w:tcW w:type="dxa" w:w="1206"/>
          </w:tcPr>
          <w:p>
            <w:r>
              <w:t>-93</w:t>
            </w:r>
          </w:p>
        </w:tc>
      </w:tr>
      <w:tr>
        <w:tc>
          <w:tcPr>
            <w:tcW w:type="dxa" w:w="1206"/>
          </w:tcPr>
          <w:p>
            <w:r>
              <w:t>T2</w:t>
            </w:r>
          </w:p>
        </w:tc>
        <w:tc>
          <w:tcPr>
            <w:tcW w:type="dxa" w:w="1206"/>
          </w:tcPr>
          <w:p>
            <w:r>
              <w:t>Fukushima only</w:t>
            </w:r>
          </w:p>
        </w:tc>
        <w:tc>
          <w:tcPr>
            <w:tcW w:type="dxa" w:w="1206"/>
          </w:tcPr>
          <w:p>
            <w:r>
              <w:t>Unweighted</w:t>
            </w:r>
          </w:p>
        </w:tc>
        <w:tc>
          <w:tcPr>
            <w:tcW w:type="dxa" w:w="1206"/>
          </w:tcPr>
          <w:p>
            <w:r>
              <w:t>No</w:t>
            </w:r>
          </w:p>
        </w:tc>
        <w:tc>
          <w:tcPr>
            <w:tcW w:type="dxa" w:w="1206"/>
          </w:tcPr>
          <w:p>
            <w:r>
              <w:t>-0.034</w:t>
            </w:r>
          </w:p>
        </w:tc>
        <w:tc>
          <w:tcPr>
            <w:tcW w:type="dxa" w:w="1206"/>
          </w:tcPr>
          <w:p>
            <w:r>
              <w:t>0.421</w:t>
            </w:r>
          </w:p>
        </w:tc>
        <w:tc>
          <w:tcPr>
            <w:tcW w:type="dxa" w:w="1206"/>
          </w:tcPr>
          <w:p>
            <w:r>
              <w:t>0.932</w:t>
            </w:r>
          </w:p>
        </w:tc>
        <w:tc>
          <w:tcPr>
            <w:tcW w:type="dxa" w:w="1206"/>
          </w:tcPr>
          <w:p>
            <w:r>
              <w:t>-146</w:t>
            </w:r>
          </w:p>
        </w:tc>
      </w:tr>
    </w:tbl>
    <w:p>
      <w:pPr>
        <w:pStyle w:val="Caption"/>
      </w:pPr>
      <w:r>
        <w:t>Table 3. Fukushima measured mortality quantities and published radiological-risk projections. Rows differ in population, geography, time horizon, measurement, and model basis and must not be added or interpreted as commensurate estimands.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Quantity</w:t>
            </w:r>
          </w:p>
        </w:tc>
        <w:tc>
          <w:tcPr>
            <w:tcW w:type="dxa" w:w="1930"/>
          </w:tcPr>
          <w:p>
            <w:r>
              <w:t>Value</w:t>
            </w:r>
          </w:p>
        </w:tc>
        <w:tc>
          <w:tcPr>
            <w:tcW w:type="dxa" w:w="1930"/>
          </w:tcPr>
          <w:p>
            <w:r>
              <w:t>Scope</w:t>
            </w:r>
          </w:p>
        </w:tc>
        <w:tc>
          <w:tcPr>
            <w:tcW w:type="dxa" w:w="1930"/>
          </w:tcPr>
          <w:p>
            <w:r>
              <w:t>Type</w:t>
            </w:r>
          </w:p>
        </w:tc>
        <w:tc>
          <w:tcPr>
            <w:tcW w:type="dxa" w:w="1930"/>
          </w:tcPr>
          <w:p>
            <w:r>
              <w:t>Source</w:t>
            </w:r>
          </w:p>
        </w:tc>
      </w:tr>
      <w:tr>
        <w:tc>
          <w:tcPr>
            <w:tcW w:type="dxa" w:w="1930"/>
          </w:tcPr>
          <w:p>
            <w:r>
              <w:t>T1 observed deaths 2011</w:t>
            </w:r>
          </w:p>
        </w:tc>
        <w:tc>
          <w:tcPr>
            <w:tcW w:type="dxa" w:w="1930"/>
          </w:tcPr>
          <w:p>
            <w:r>
              <w:t>2,996</w:t>
            </w:r>
          </w:p>
        </w:tc>
        <w:tc>
          <w:tcPr>
            <w:tcW w:type="dxa" w:w="1930"/>
          </w:tcPr>
          <w:p>
            <w:r>
              <w:t>T1 municipalities</w:t>
            </w:r>
          </w:p>
        </w:tc>
        <w:tc>
          <w:tcPr>
            <w:tcW w:type="dxa" w:w="1930"/>
          </w:tcPr>
          <w:p>
            <w:r>
              <w:t>Measured</w:t>
            </w:r>
          </w:p>
        </w:tc>
        <w:tc>
          <w:tcPr>
            <w:tcW w:type="dxa" w:w="1930"/>
          </w:tcPr>
          <w:p>
            <w:r>
              <w:t>This study</w:t>
            </w:r>
          </w:p>
        </w:tc>
      </w:tr>
      <w:tr>
        <w:tc>
          <w:tcPr>
            <w:tcW w:type="dxa" w:w="1930"/>
          </w:tcPr>
          <w:p>
            <w:r>
              <w:t>T1 expected deaths 2011</w:t>
            </w:r>
          </w:p>
        </w:tc>
        <w:tc>
          <w:tcPr>
            <w:tcW w:type="dxa" w:w="1930"/>
          </w:tcPr>
          <w:p>
            <w:r>
              <w:t>2,060</w:t>
            </w:r>
          </w:p>
        </w:tc>
        <w:tc>
          <w:tcPr>
            <w:tcW w:type="dxa" w:w="1930"/>
          </w:tcPr>
          <w:p>
            <w:r>
              <w:t>T1 municipalities</w:t>
            </w:r>
          </w:p>
        </w:tc>
        <w:tc>
          <w:tcPr>
            <w:tcW w:type="dxa" w:w="1930"/>
          </w:tcPr>
          <w:p>
            <w:r>
              <w:t>Measured</w:t>
            </w:r>
          </w:p>
        </w:tc>
        <w:tc>
          <w:tcPr>
            <w:tcW w:type="dxa" w:w="1930"/>
          </w:tcPr>
          <w:p>
            <w:r>
              <w:t>This study</w:t>
            </w:r>
          </w:p>
        </w:tc>
      </w:tr>
      <w:tr>
        <w:tc>
          <w:tcPr>
            <w:tcW w:type="dxa" w:w="1930"/>
          </w:tcPr>
          <w:p>
            <w:r>
              <w:t>T1 excess deaths 2011</w:t>
            </w:r>
          </w:p>
        </w:tc>
        <w:tc>
          <w:tcPr>
            <w:tcW w:type="dxa" w:w="1930"/>
          </w:tcPr>
          <w:p>
            <w:r>
              <w:t>936</w:t>
            </w:r>
          </w:p>
        </w:tc>
        <w:tc>
          <w:tcPr>
            <w:tcW w:type="dxa" w:w="1930"/>
          </w:tcPr>
          <w:p>
            <w:r>
              <w:t>T1 municipalities</w:t>
            </w:r>
          </w:p>
        </w:tc>
        <w:tc>
          <w:tcPr>
            <w:tcW w:type="dxa" w:w="1930"/>
          </w:tcPr>
          <w:p>
            <w:r>
              <w:t>Measured</w:t>
            </w:r>
          </w:p>
        </w:tc>
        <w:tc>
          <w:tcPr>
            <w:tcW w:type="dxa" w:w="1930"/>
          </w:tcPr>
          <w:p>
            <w:r>
              <w:t>This study</w:t>
            </w:r>
          </w:p>
        </w:tc>
      </w:tr>
      <w:tr>
        <w:tc>
          <w:tcPr>
            <w:tcW w:type="dxa" w:w="1930"/>
          </w:tcPr>
          <w:p>
            <w:r>
              <w:t>Of which direct disaster deaths</w:t>
            </w:r>
          </w:p>
        </w:tc>
        <w:tc>
          <w:tcPr>
            <w:tcW w:type="dxa" w:w="1930"/>
          </w:tcPr>
          <w:p>
            <w:r>
              <w:t>732</w:t>
            </w:r>
          </w:p>
        </w:tc>
        <w:tc>
          <w:tcPr>
            <w:tcW w:type="dxa" w:w="1930"/>
          </w:tcPr>
          <w:p>
            <w:r>
              <w:t>T1 municipalities</w:t>
            </w:r>
          </w:p>
        </w:tc>
        <w:tc>
          <w:tcPr>
            <w:tcW w:type="dxa" w:w="1930"/>
          </w:tcPr>
          <w:p>
            <w:r>
              <w:t>Measured</w:t>
            </w:r>
          </w:p>
        </w:tc>
        <w:tc>
          <w:tcPr>
            <w:tcW w:type="dxa" w:w="1930"/>
          </w:tcPr>
          <w:p>
            <w:r>
              <w:t>Fukushima Prefecture, 2014</w:t>
            </w:r>
          </w:p>
        </w:tc>
      </w:tr>
      <w:tr>
        <w:tc>
          <w:tcPr>
            <w:tcW w:type="dxa" w:w="1930"/>
          </w:tcPr>
          <w:p>
            <w:r>
              <w:t>T1 residual excess deaths 2011</w:t>
            </w:r>
          </w:p>
        </w:tc>
        <w:tc>
          <w:tcPr>
            <w:tcW w:type="dxa" w:w="1930"/>
          </w:tcPr>
          <w:p>
            <w:r>
              <w:t>204</w:t>
            </w:r>
          </w:p>
        </w:tc>
        <w:tc>
          <w:tcPr>
            <w:tcW w:type="dxa" w:w="1930"/>
          </w:tcPr>
          <w:p>
            <w:r>
              <w:t>T1 municipalities</w:t>
            </w:r>
          </w:p>
        </w:tc>
        <w:tc>
          <w:tcPr>
            <w:tcW w:type="dxa" w:w="1930"/>
          </w:tcPr>
          <w:p>
            <w:r>
              <w:t>Measured</w:t>
            </w:r>
          </w:p>
        </w:tc>
        <w:tc>
          <w:tcPr>
            <w:tcW w:type="dxa" w:w="1930"/>
          </w:tcPr>
          <w:p>
            <w:r>
              <w:t>This study</w:t>
            </w:r>
          </w:p>
        </w:tc>
      </w:tr>
      <w:tr>
        <w:tc>
          <w:tcPr>
            <w:tcW w:type="dxa" w:w="1930"/>
          </w:tcPr>
          <w:p>
            <w:r>
              <w:t>T1 implied difference 2012-2019 (recorded)</w:t>
            </w:r>
          </w:p>
        </w:tc>
        <w:tc>
          <w:tcPr>
            <w:tcW w:type="dxa" w:w="1930"/>
          </w:tcPr>
          <w:p>
            <w:r>
              <w:t>-1,322</w:t>
            </w:r>
          </w:p>
        </w:tc>
        <w:tc>
          <w:tcPr>
            <w:tcW w:type="dxa" w:w="1930"/>
          </w:tcPr>
          <w:p>
            <w:r>
              <w:t>T1 municipalities</w:t>
            </w:r>
          </w:p>
        </w:tc>
        <w:tc>
          <w:tcPr>
            <w:tcW w:type="dxa" w:w="1930"/>
          </w:tcPr>
          <w:p>
            <w:r>
              <w:t>Measured</w:t>
            </w:r>
          </w:p>
        </w:tc>
        <w:tc>
          <w:tcPr>
            <w:tcW w:type="dxa" w:w="1930"/>
          </w:tcPr>
          <w:p>
            <w:r>
              <w:t>This study</w:t>
            </w:r>
          </w:p>
        </w:tc>
      </w:tr>
      <w:tr>
        <w:tc>
          <w:tcPr>
            <w:tcW w:type="dxa" w:w="1930"/>
          </w:tcPr>
          <w:p>
            <w:r>
              <w:t>Certified disaster-related deaths, Fukushima Prefecture</w:t>
            </w:r>
          </w:p>
        </w:tc>
        <w:tc>
          <w:tcPr>
            <w:tcW w:type="dxa" w:w="1930"/>
          </w:tcPr>
          <w:p>
            <w:r>
              <w:t>2,350</w:t>
            </w:r>
          </w:p>
        </w:tc>
        <w:tc>
          <w:tcPr>
            <w:tcW w:type="dxa" w:w="1930"/>
          </w:tcPr>
          <w:p>
            <w:r>
              <w:t>Fukushima prefecture</w:t>
            </w:r>
          </w:p>
        </w:tc>
        <w:tc>
          <w:tcPr>
            <w:tcW w:type="dxa" w:w="1930"/>
          </w:tcPr>
          <w:p>
            <w:r>
              <w:t>Measured</w:t>
            </w:r>
          </w:p>
        </w:tc>
        <w:tc>
          <w:tcPr>
            <w:tcW w:type="dxa" w:w="1930"/>
          </w:tcPr>
          <w:p>
            <w:r>
              <w:t>Reconstruction Agency, 2026</w:t>
            </w:r>
          </w:p>
        </w:tc>
      </w:tr>
      <w:tr>
        <w:tc>
          <w:tcPr>
            <w:tcW w:type="dxa" w:w="1930"/>
          </w:tcPr>
          <w:p>
            <w:r>
              <w:t>Projected worldwide cancer deaths from the release</w:t>
            </w:r>
          </w:p>
        </w:tc>
        <w:tc>
          <w:tcPr>
            <w:tcW w:type="dxa" w:w="1930"/>
          </w:tcPr>
          <w:p>
            <w:r>
              <w:t>130 (15-1,100)</w:t>
            </w:r>
          </w:p>
        </w:tc>
        <w:tc>
          <w:tcPr>
            <w:tcW w:type="dxa" w:w="1930"/>
          </w:tcPr>
          <w:p>
            <w:r>
              <w:t>Worldwide</w:t>
            </w:r>
          </w:p>
        </w:tc>
        <w:tc>
          <w:tcPr>
            <w:tcW w:type="dxa" w:w="1930"/>
          </w:tcPr>
          <w:p>
            <w:r>
              <w:t>Projected (LNT-based)</w:t>
            </w:r>
          </w:p>
        </w:tc>
        <w:tc>
          <w:tcPr>
            <w:tcW w:type="dxa" w:w="1930"/>
          </w:tcPr>
          <w:p>
            <w:r>
              <w:t>ten Hoeve &amp; Jacobson, 2012</w:t>
            </w:r>
          </w:p>
        </w:tc>
      </w:tr>
      <w:tr>
        <w:tc>
          <w:tcPr>
            <w:tcW w:type="dxa" w:w="1930"/>
          </w:tcPr>
          <w:p>
            <w:r>
              <w:t>Evacuation-avoided radiological mortalities</w:t>
            </w:r>
          </w:p>
        </w:tc>
        <w:tc>
          <w:tcPr>
            <w:tcW w:type="dxa" w:w="1930"/>
          </w:tcPr>
          <w:p>
            <w:r>
              <w:t>28 (3-245)</w:t>
            </w:r>
          </w:p>
        </w:tc>
        <w:tc>
          <w:tcPr>
            <w:tcW w:type="dxa" w:w="1930"/>
          </w:tcPr>
          <w:p>
            <w:r>
              <w:t>Worldwide</w:t>
            </w:r>
          </w:p>
        </w:tc>
        <w:tc>
          <w:tcPr>
            <w:tcW w:type="dxa" w:w="1930"/>
          </w:tcPr>
          <w:p>
            <w:r>
              <w:t>Projected (LNT-based)</w:t>
            </w:r>
          </w:p>
        </w:tc>
        <w:tc>
          <w:tcPr>
            <w:tcW w:type="dxa" w:w="1930"/>
          </w:tcPr>
          <w:p>
            <w:r>
              <w:t>ten Hoeve &amp; Jacobson, 2012</w:t>
            </w:r>
          </w:p>
        </w:tc>
      </w:tr>
      <w:tr>
        <w:tc>
          <w:tcPr>
            <w:tcW w:type="dxa" w:w="1930"/>
          </w:tcPr>
          <w:p>
            <w:r>
              <w:t>Lifetime-risk relative increases in the most affected areas</w:t>
            </w:r>
          </w:p>
        </w:tc>
        <w:tc>
          <w:tcPr>
            <w:tcW w:type="dxa" w:w="1930"/>
          </w:tcPr>
          <w:p>
            <w:r>
              <w:t>leukaemia up to 7%; breast up to 6%; all solid cancers up to 4%; thyroid up to 70%</w:t>
            </w:r>
          </w:p>
        </w:tc>
        <w:tc>
          <w:tcPr>
            <w:tcW w:type="dxa" w:w="1930"/>
          </w:tcPr>
          <w:p>
            <w:r>
              <w:t>Most affected areas</w:t>
            </w:r>
          </w:p>
        </w:tc>
        <w:tc>
          <w:tcPr>
            <w:tcW w:type="dxa" w:w="1930"/>
          </w:tcPr>
          <w:p>
            <w:r>
              <w:t>Projected (LNT-based)</w:t>
            </w:r>
          </w:p>
        </w:tc>
        <w:tc>
          <w:tcPr>
            <w:tcW w:type="dxa" w:w="1930"/>
          </w:tcPr>
          <w:p>
            <w:r>
              <w:t>WHO, 2013</w:t>
            </w:r>
          </w:p>
        </w:tc>
      </w:tr>
      <w:tr>
        <w:tc>
          <w:tcPr>
            <w:tcW w:type="dxa" w:w="1930"/>
          </w:tcPr>
          <w:p>
            <w:r>
              <w:t>WHO conclusion outside Japan</w:t>
            </w:r>
          </w:p>
        </w:tc>
        <w:tc>
          <w:tcPr>
            <w:tcW w:type="dxa" w:w="1930"/>
          </w:tcPr>
          <w:p>
            <w:r>
              <w:t>no discernible increase</w:t>
            </w:r>
          </w:p>
        </w:tc>
        <w:tc>
          <w:tcPr>
            <w:tcW w:type="dxa" w:w="1930"/>
          </w:tcPr>
          <w:p>
            <w:r>
              <w:t>Outside Japan</w:t>
            </w:r>
          </w:p>
        </w:tc>
        <w:tc>
          <w:tcPr>
            <w:tcW w:type="dxa" w:w="1930"/>
          </w:tcPr>
          <w:p>
            <w:r>
              <w:t>Projected (LNT-based)</w:t>
            </w:r>
          </w:p>
        </w:tc>
        <w:tc>
          <w:tcPr>
            <w:tcW w:type="dxa" w:w="1930"/>
          </w:tcPr>
          <w:p>
            <w:r>
              <w:t>WHO, 2013</w:t>
            </w:r>
          </w:p>
        </w:tc>
      </w:tr>
      <w:tr>
        <w:tc>
          <w:tcPr>
            <w:tcW w:type="dxa" w:w="1930"/>
          </w:tcPr>
          <w:p>
            <w:r>
              <w:t>Collective effective dose</w:t>
            </w:r>
          </w:p>
        </w:tc>
        <w:tc>
          <w:tcPr>
            <w:tcW w:type="dxa" w:w="1930"/>
          </w:tcPr>
          <w:p>
            <w:r>
              <w:t>18 / 36 / 48 thousand man-Sv (first year / ten years / lifetime)</w:t>
            </w:r>
          </w:p>
        </w:tc>
        <w:tc>
          <w:tcPr>
            <w:tcW w:type="dxa" w:w="1930"/>
          </w:tcPr>
          <w:p>
            <w:r>
              <w:t>Japanese population</w:t>
            </w:r>
          </w:p>
        </w:tc>
        <w:tc>
          <w:tcPr>
            <w:tcW w:type="dxa" w:w="1930"/>
          </w:tcPr>
          <w:p>
            <w:r>
              <w:t>Projected (LNT-based)</w:t>
            </w:r>
          </w:p>
        </w:tc>
        <w:tc>
          <w:tcPr>
            <w:tcW w:type="dxa" w:w="1930"/>
          </w:tcPr>
          <w:p>
            <w:r>
              <w:t>UNSCEAR, 2014</w:t>
            </w:r>
          </w:p>
        </w:tc>
      </w:tr>
      <w:tr>
        <w:tc>
          <w:tcPr>
            <w:tcW w:type="dxa" w:w="1930"/>
          </w:tcPr>
          <w:p>
            <w:r>
              <w:t>UNSCEAR conclusion</w:t>
            </w:r>
          </w:p>
        </w:tc>
        <w:tc>
          <w:tcPr>
            <w:tcW w:type="dxa" w:w="1930"/>
          </w:tcPr>
          <w:p>
            <w:r>
              <w:t>no discernible increase expected</w:t>
            </w:r>
          </w:p>
        </w:tc>
        <w:tc>
          <w:tcPr>
            <w:tcW w:type="dxa" w:w="1930"/>
          </w:tcPr>
          <w:p>
            <w:r>
              <w:t>Exposed population</w:t>
            </w:r>
          </w:p>
        </w:tc>
        <w:tc>
          <w:tcPr>
            <w:tcW w:type="dxa" w:w="1930"/>
          </w:tcPr>
          <w:p>
            <w:r>
              <w:t>Projected (LNT-based)</w:t>
            </w:r>
          </w:p>
        </w:tc>
        <w:tc>
          <w:tcPr>
            <w:tcW w:type="dxa" w:w="1930"/>
          </w:tcPr>
          <w:p>
            <w:r>
              <w:t>UNSCEAR, 2014</w:t>
            </w:r>
          </w:p>
        </w:tc>
      </w:tr>
    </w:tbl>
    <w:p>
      <w:pPr>
        <w:pStyle w:val="Caption"/>
      </w:pPr>
      <w:r>
        <w:t>Table 4. Kansas synthetic-control estimates by outcome and donor pool. Mean gaps cover 2013-2017. Permutation p values compare Kansas with donor-state placebo gaps; LOO denotes leave-one-donor-out sensitivity.</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tcPr>
          <w:p>
            <w:r>
              <w:t>Outcome</w:t>
            </w:r>
          </w:p>
        </w:tc>
        <w:tc>
          <w:tcPr>
            <w:tcW w:type="dxa" w:w="1072"/>
          </w:tcPr>
          <w:p>
            <w:r>
              <w:t>Pool</w:t>
            </w:r>
          </w:p>
        </w:tc>
        <w:tc>
          <w:tcPr>
            <w:tcW w:type="dxa" w:w="1072"/>
          </w:tcPr>
          <w:p>
            <w:r>
              <w:t>Mean gap</w:t>
            </w:r>
          </w:p>
        </w:tc>
        <w:tc>
          <w:tcPr>
            <w:tcW w:type="dxa" w:w="1072"/>
          </w:tcPr>
          <w:p>
            <w:r>
              <w:t>Gap (%)</w:t>
            </w:r>
          </w:p>
        </w:tc>
        <w:tc>
          <w:tcPr>
            <w:tcW w:type="dxa" w:w="1072"/>
          </w:tcPr>
          <w:p>
            <w:r>
              <w:t>Permutation p</w:t>
            </w:r>
          </w:p>
        </w:tc>
        <w:tc>
          <w:tcPr>
            <w:tcW w:type="dxa" w:w="1072"/>
          </w:tcPr>
          <w:p>
            <w:r>
              <w:t>Pre-RMSPE</w:t>
            </w:r>
          </w:p>
        </w:tc>
        <w:tc>
          <w:tcPr>
            <w:tcW w:type="dxa" w:w="1072"/>
          </w:tcPr>
          <w:p>
            <w:r>
              <w:t>donors</w:t>
            </w:r>
          </w:p>
        </w:tc>
        <w:tc>
          <w:tcPr>
            <w:tcW w:type="dxa" w:w="1072"/>
          </w:tcPr>
          <w:p>
            <w:r>
              <w:t>in-time placebo</w:t>
            </w:r>
          </w:p>
        </w:tc>
        <w:tc>
          <w:tcPr>
            <w:tcW w:type="dxa" w:w="1072"/>
          </w:tcPr>
          <w:p>
            <w:r>
              <w:t>LOO range</w:t>
            </w:r>
          </w:p>
        </w:tc>
      </w:tr>
      <w:tr>
        <w:tc>
          <w:tcPr>
            <w:tcW w:type="dxa" w:w="1072"/>
          </w:tcPr>
          <w:p>
            <w:r>
              <w:t>Real GDP per capita</w:t>
            </w:r>
          </w:p>
        </w:tc>
        <w:tc>
          <w:tcPr>
            <w:tcW w:type="dxa" w:w="1072"/>
          </w:tcPr>
          <w:p>
            <w:r>
              <w:t>Main</w:t>
            </w:r>
          </w:p>
        </w:tc>
        <w:tc>
          <w:tcPr>
            <w:tcW w:type="dxa" w:w="1072"/>
          </w:tcPr>
          <w:p>
            <w:r>
              <w:t>0.015</w:t>
            </w:r>
          </w:p>
        </w:tc>
        <w:tc>
          <w:tcPr>
            <w:tcW w:type="dxa" w:w="1072"/>
          </w:tcPr>
          <w:p>
            <w:r>
              <w:t>+1.5%</w:t>
            </w:r>
          </w:p>
        </w:tc>
        <w:tc>
          <w:tcPr>
            <w:tcW w:type="dxa" w:w="1072"/>
          </w:tcPr>
          <w:p>
            <w:r>
              <w:t>0.71</w:t>
            </w:r>
          </w:p>
        </w:tc>
        <w:tc>
          <w:tcPr>
            <w:tcW w:type="dxa" w:w="1072"/>
          </w:tcPr>
          <w:p>
            <w:r>
              <w:t>0.015</w:t>
            </w:r>
          </w:p>
        </w:tc>
        <w:tc>
          <w:tcPr>
            <w:tcW w:type="dxa" w:w="1072"/>
          </w:tcPr>
          <w:p>
            <w:r>
              <w:t>33</w:t>
            </w:r>
          </w:p>
        </w:tc>
        <w:tc>
          <w:tcPr>
            <w:tcW w:type="dxa" w:w="1072"/>
          </w:tcPr>
          <w:p>
            <w:r>
              <w:t>0.056</w:t>
            </w:r>
          </w:p>
        </w:tc>
        <w:tc>
          <w:tcPr>
            <w:tcW w:type="dxa" w:w="1072"/>
          </w:tcPr>
          <w:p>
            <w:r>
              <w:t>0.009 to 0.029</w:t>
            </w:r>
          </w:p>
        </w:tc>
      </w:tr>
      <w:tr>
        <w:tc>
          <w:tcPr>
            <w:tcW w:type="dxa" w:w="1072"/>
          </w:tcPr>
          <w:p>
            <w:r>
              <w:t>Real GDP per capita</w:t>
            </w:r>
          </w:p>
        </w:tc>
        <w:tc>
          <w:tcPr>
            <w:tcW w:type="dxa" w:w="1072"/>
          </w:tcPr>
          <w:p>
            <w:r>
              <w:t>All states</w:t>
            </w:r>
          </w:p>
        </w:tc>
        <w:tc>
          <w:tcPr>
            <w:tcW w:type="dxa" w:w="1072"/>
          </w:tcPr>
          <w:p>
            <w:r>
              <w:t>-0.004</w:t>
            </w:r>
          </w:p>
        </w:tc>
        <w:tc>
          <w:tcPr>
            <w:tcW w:type="dxa" w:w="1072"/>
          </w:tcPr>
          <w:p>
            <w:r>
              <w:t>-0.4%</w:t>
            </w:r>
          </w:p>
        </w:tc>
        <w:tc>
          <w:tcPr>
            <w:tcW w:type="dxa" w:w="1072"/>
          </w:tcPr>
          <w:p>
            <w:r>
              <w:t>0.49</w:t>
            </w:r>
          </w:p>
        </w:tc>
        <w:tc>
          <w:tcPr>
            <w:tcW w:type="dxa" w:w="1072"/>
          </w:tcPr>
          <w:p>
            <w:r>
              <w:t>0.007</w:t>
            </w:r>
          </w:p>
        </w:tc>
        <w:tc>
          <w:tcPr>
            <w:tcW w:type="dxa" w:w="1072"/>
          </w:tcPr>
          <w:p>
            <w:r>
              <w:t>50</w:t>
            </w:r>
          </w:p>
        </w:tc>
        <w:tc>
          <w:tcPr>
            <w:tcW w:type="dxa" w:w="1072"/>
          </w:tcPr>
          <w:p>
            <w:r>
              <w:t>0.056</w:t>
            </w:r>
          </w:p>
        </w:tc>
        <w:tc>
          <w:tcPr>
            <w:tcW w:type="dxa" w:w="1072"/>
          </w:tcPr>
          <w:p>
            <w:r>
              <w:t>-</w:t>
            </w:r>
          </w:p>
        </w:tc>
      </w:tr>
      <w:tr>
        <w:tc>
          <w:tcPr>
            <w:tcW w:type="dxa" w:w="1072"/>
          </w:tcPr>
          <w:p>
            <w:r>
              <w:t>Nonfarm employment</w:t>
            </w:r>
          </w:p>
        </w:tc>
        <w:tc>
          <w:tcPr>
            <w:tcW w:type="dxa" w:w="1072"/>
          </w:tcPr>
          <w:p>
            <w:r>
              <w:t>Main</w:t>
            </w:r>
          </w:p>
        </w:tc>
        <w:tc>
          <w:tcPr>
            <w:tcW w:type="dxa" w:w="1072"/>
          </w:tcPr>
          <w:p>
            <w:r>
              <w:t>-0.013</w:t>
            </w:r>
          </w:p>
        </w:tc>
        <w:tc>
          <w:tcPr>
            <w:tcW w:type="dxa" w:w="1072"/>
          </w:tcPr>
          <w:p>
            <w:r>
              <w:t>-1.3%</w:t>
            </w:r>
          </w:p>
        </w:tc>
        <w:tc>
          <w:tcPr>
            <w:tcW w:type="dxa" w:w="1072"/>
          </w:tcPr>
          <w:p>
            <w:r>
              <w:t>0.47</w:t>
            </w:r>
          </w:p>
        </w:tc>
        <w:tc>
          <w:tcPr>
            <w:tcW w:type="dxa" w:w="1072"/>
          </w:tcPr>
          <w:p>
            <w:r>
              <w:t>0.004</w:t>
            </w:r>
          </w:p>
        </w:tc>
        <w:tc>
          <w:tcPr>
            <w:tcW w:type="dxa" w:w="1072"/>
          </w:tcPr>
          <w:p>
            <w:r>
              <w:t>33</w:t>
            </w:r>
          </w:p>
        </w:tc>
        <w:tc>
          <w:tcPr>
            <w:tcW w:type="dxa" w:w="1072"/>
          </w:tcPr>
          <w:p>
            <w:r>
              <w:t>0.006</w:t>
            </w:r>
          </w:p>
        </w:tc>
        <w:tc>
          <w:tcPr>
            <w:tcW w:type="dxa" w:w="1072"/>
          </w:tcPr>
          <w:p>
            <w:r>
              <w:t>-0.014 to -0.001</w:t>
            </w:r>
          </w:p>
        </w:tc>
      </w:tr>
      <w:tr>
        <w:tc>
          <w:tcPr>
            <w:tcW w:type="dxa" w:w="1072"/>
          </w:tcPr>
          <w:p>
            <w:r>
              <w:t>Nonfarm employment</w:t>
            </w:r>
          </w:p>
        </w:tc>
        <w:tc>
          <w:tcPr>
            <w:tcW w:type="dxa" w:w="1072"/>
          </w:tcPr>
          <w:p>
            <w:r>
              <w:t>All states</w:t>
            </w:r>
          </w:p>
        </w:tc>
        <w:tc>
          <w:tcPr>
            <w:tcW w:type="dxa" w:w="1072"/>
          </w:tcPr>
          <w:p>
            <w:r>
              <w:t>-0.001</w:t>
            </w:r>
          </w:p>
        </w:tc>
        <w:tc>
          <w:tcPr>
            <w:tcW w:type="dxa" w:w="1072"/>
          </w:tcPr>
          <w:p>
            <w:r>
              <w:t>-0.1%</w:t>
            </w:r>
          </w:p>
        </w:tc>
        <w:tc>
          <w:tcPr>
            <w:tcW w:type="dxa" w:w="1072"/>
          </w:tcPr>
          <w:p>
            <w:r>
              <w:t>0.96</w:t>
            </w:r>
          </w:p>
        </w:tc>
        <w:tc>
          <w:tcPr>
            <w:tcW w:type="dxa" w:w="1072"/>
          </w:tcPr>
          <w:p>
            <w:r>
              <w:t>0.003</w:t>
            </w:r>
          </w:p>
        </w:tc>
        <w:tc>
          <w:tcPr>
            <w:tcW w:type="dxa" w:w="1072"/>
          </w:tcPr>
          <w:p>
            <w:r>
              <w:t>50</w:t>
            </w:r>
          </w:p>
        </w:tc>
        <w:tc>
          <w:tcPr>
            <w:tcW w:type="dxa" w:w="1072"/>
          </w:tcPr>
          <w:p>
            <w:r>
              <w:t>0.006</w:t>
            </w:r>
          </w:p>
        </w:tc>
        <w:tc>
          <w:tcPr>
            <w:tcW w:type="dxa" w:w="1072"/>
          </w:tcPr>
          <w:p>
            <w:r>
              <w:t>-</w:t>
            </w:r>
          </w:p>
        </w:tc>
      </w:tr>
      <w:tr>
        <w:tc>
          <w:tcPr>
            <w:tcW w:type="dxa" w:w="1072"/>
          </w:tcPr>
          <w:p>
            <w:r>
              <w:t>Real total tax revenue per capita</w:t>
            </w:r>
          </w:p>
        </w:tc>
        <w:tc>
          <w:tcPr>
            <w:tcW w:type="dxa" w:w="1072"/>
          </w:tcPr>
          <w:p>
            <w:r>
              <w:t>Main</w:t>
            </w:r>
          </w:p>
        </w:tc>
        <w:tc>
          <w:tcPr>
            <w:tcW w:type="dxa" w:w="1072"/>
          </w:tcPr>
          <w:p>
            <w:r>
              <w:t>-0.031</w:t>
            </w:r>
          </w:p>
        </w:tc>
        <w:tc>
          <w:tcPr>
            <w:tcW w:type="dxa" w:w="1072"/>
          </w:tcPr>
          <w:p>
            <w:r>
              <w:t>-3.0%</w:t>
            </w:r>
          </w:p>
        </w:tc>
        <w:tc>
          <w:tcPr>
            <w:tcW w:type="dxa" w:w="1072"/>
          </w:tcPr>
          <w:p>
            <w:r>
              <w:t>0.18</w:t>
            </w:r>
          </w:p>
        </w:tc>
        <w:tc>
          <w:tcPr>
            <w:tcW w:type="dxa" w:w="1072"/>
          </w:tcPr>
          <w:p>
            <w:r>
              <w:t>0.013</w:t>
            </w:r>
          </w:p>
        </w:tc>
        <w:tc>
          <w:tcPr>
            <w:tcW w:type="dxa" w:w="1072"/>
          </w:tcPr>
          <w:p>
            <w:r>
              <w:t>32</w:t>
            </w:r>
          </w:p>
        </w:tc>
        <w:tc>
          <w:tcPr>
            <w:tcW w:type="dxa" w:w="1072"/>
          </w:tcPr>
          <w:p>
            <w:r>
              <w:t>0.075</w:t>
            </w:r>
          </w:p>
        </w:tc>
        <w:tc>
          <w:tcPr>
            <w:tcW w:type="dxa" w:w="1072"/>
          </w:tcPr>
          <w:p>
            <w:r>
              <w:t>-0.039 to -0.028</w:t>
            </w:r>
          </w:p>
        </w:tc>
      </w:tr>
      <w:tr>
        <w:tc>
          <w:tcPr>
            <w:tcW w:type="dxa" w:w="1072"/>
          </w:tcPr>
          <w:p>
            <w:r>
              <w:t>Real total tax revenue per capita</w:t>
            </w:r>
          </w:p>
        </w:tc>
        <w:tc>
          <w:tcPr>
            <w:tcW w:type="dxa" w:w="1072"/>
          </w:tcPr>
          <w:p>
            <w:r>
              <w:t>All states</w:t>
            </w:r>
          </w:p>
        </w:tc>
        <w:tc>
          <w:tcPr>
            <w:tcW w:type="dxa" w:w="1072"/>
          </w:tcPr>
          <w:p>
            <w:r>
              <w:t>0.030</w:t>
            </w:r>
          </w:p>
        </w:tc>
        <w:tc>
          <w:tcPr>
            <w:tcW w:type="dxa" w:w="1072"/>
          </w:tcPr>
          <w:p>
            <w:r>
              <w:t>+3.1%</w:t>
            </w:r>
          </w:p>
        </w:tc>
        <w:tc>
          <w:tcPr>
            <w:tcW w:type="dxa" w:w="1072"/>
          </w:tcPr>
          <w:p>
            <w:r>
              <w:t>0.12</w:t>
            </w:r>
          </w:p>
        </w:tc>
        <w:tc>
          <w:tcPr>
            <w:tcW w:type="dxa" w:w="1072"/>
          </w:tcPr>
          <w:p>
            <w:r>
              <w:t>0.010</w:t>
            </w:r>
          </w:p>
        </w:tc>
        <w:tc>
          <w:tcPr>
            <w:tcW w:type="dxa" w:w="1072"/>
          </w:tcPr>
          <w:p>
            <w:r>
              <w:t>49</w:t>
            </w:r>
          </w:p>
        </w:tc>
        <w:tc>
          <w:tcPr>
            <w:tcW w:type="dxa" w:w="1072"/>
          </w:tcPr>
          <w:p>
            <w:r>
              <w:t>0.075</w:t>
            </w:r>
          </w:p>
        </w:tc>
        <w:tc>
          <w:tcPr>
            <w:tcW w:type="dxa" w:w="1072"/>
          </w:tcPr>
          <w:p>
            <w:r>
              <w:t>-</w:t>
            </w:r>
          </w:p>
        </w:tc>
      </w:tr>
      <w:tr>
        <w:tc>
          <w:tcPr>
            <w:tcW w:type="dxa" w:w="1072"/>
          </w:tcPr>
          <w:p>
            <w:r>
              <w:t>Real individual income-tax revenue per capita</w:t>
            </w:r>
          </w:p>
        </w:tc>
        <w:tc>
          <w:tcPr>
            <w:tcW w:type="dxa" w:w="1072"/>
          </w:tcPr>
          <w:p>
            <w:r>
              <w:t>Main</w:t>
            </w:r>
          </w:p>
        </w:tc>
        <w:tc>
          <w:tcPr>
            <w:tcW w:type="dxa" w:w="1072"/>
          </w:tcPr>
          <w:p>
            <w:r>
              <w:t>-0.313</w:t>
            </w:r>
          </w:p>
        </w:tc>
        <w:tc>
          <w:tcPr>
            <w:tcW w:type="dxa" w:w="1072"/>
          </w:tcPr>
          <w:p>
            <w:r>
              <w:t>-26.9%</w:t>
            </w:r>
          </w:p>
        </w:tc>
        <w:tc>
          <w:tcPr>
            <w:tcW w:type="dxa" w:w="1072"/>
          </w:tcPr>
          <w:p>
            <w:r>
              <w:t>0.03</w:t>
            </w:r>
          </w:p>
        </w:tc>
        <w:tc>
          <w:tcPr>
            <w:tcW w:type="dxa" w:w="1072"/>
          </w:tcPr>
          <w:p>
            <w:r>
              <w:t>0.025</w:t>
            </w:r>
          </w:p>
        </w:tc>
        <w:tc>
          <w:tcPr>
            <w:tcW w:type="dxa" w:w="1072"/>
          </w:tcPr>
          <w:p>
            <w:r>
              <w:t>32</w:t>
            </w:r>
          </w:p>
        </w:tc>
        <w:tc>
          <w:tcPr>
            <w:tcW w:type="dxa" w:w="1072"/>
          </w:tcPr>
          <w:p>
            <w:r>
              <w:t>0.103</w:t>
            </w:r>
          </w:p>
        </w:tc>
        <w:tc>
          <w:tcPr>
            <w:tcW w:type="dxa" w:w="1072"/>
          </w:tcPr>
          <w:p>
            <w:r>
              <w:t>-0.322 to -0.291</w:t>
            </w:r>
          </w:p>
        </w:tc>
      </w:tr>
      <w:tr>
        <w:tc>
          <w:tcPr>
            <w:tcW w:type="dxa" w:w="1072"/>
          </w:tcPr>
          <w:p>
            <w:r>
              <w:t>Real individual income-tax revenue per capita</w:t>
            </w:r>
          </w:p>
        </w:tc>
        <w:tc>
          <w:tcPr>
            <w:tcW w:type="dxa" w:w="1072"/>
          </w:tcPr>
          <w:p>
            <w:r>
              <w:t>All states</w:t>
            </w:r>
          </w:p>
        </w:tc>
        <w:tc>
          <w:tcPr>
            <w:tcW w:type="dxa" w:w="1072"/>
          </w:tcPr>
          <w:p>
            <w:r>
              <w:t>-0.301</w:t>
            </w:r>
          </w:p>
        </w:tc>
        <w:tc>
          <w:tcPr>
            <w:tcW w:type="dxa" w:w="1072"/>
          </w:tcPr>
          <w:p>
            <w:r>
              <w:t>-26.0%</w:t>
            </w:r>
          </w:p>
        </w:tc>
        <w:tc>
          <w:tcPr>
            <w:tcW w:type="dxa" w:w="1072"/>
          </w:tcPr>
          <w:p>
            <w:r>
              <w:t>0.02</w:t>
            </w:r>
          </w:p>
        </w:tc>
        <w:tc>
          <w:tcPr>
            <w:tcW w:type="dxa" w:w="1072"/>
          </w:tcPr>
          <w:p>
            <w:r>
              <w:t>0.019</w:t>
            </w:r>
          </w:p>
        </w:tc>
        <w:tc>
          <w:tcPr>
            <w:tcW w:type="dxa" w:w="1072"/>
          </w:tcPr>
          <w:p>
            <w:r>
              <w:t>42</w:t>
            </w:r>
          </w:p>
        </w:tc>
        <w:tc>
          <w:tcPr>
            <w:tcW w:type="dxa" w:w="1072"/>
          </w:tcPr>
          <w:p>
            <w:r>
              <w:t>0.103</w:t>
            </w:r>
          </w:p>
        </w:tc>
        <w:tc>
          <w:tcPr>
            <w:tcW w:type="dxa" w:w="1072"/>
          </w:tcPr>
          <w:p>
            <w:r>
              <w:t>-</w:t>
            </w:r>
          </w:p>
        </w:tc>
      </w:tr>
    </w:tbl>
    <w:p>
      <w:pPr>
        <w:pStyle w:val="Caption"/>
      </w:pPr>
      <w:r>
        <w:t>Table 5. Cross-case synthesis of the two policy applications. The cases are not statistically comparable; the comparison illustrates that functional-form dependence arises through different mechanisms in different policy settings.</w:t>
      </w:r>
    </w:p>
    <w:tbl>
      <w:tblPr>
        <w:tblStyle w:val="TableGrid"/>
        <w:tblW w:type="auto" w:w="0"/>
        <w:tblLook w:firstColumn="1" w:firstRow="1" w:lastColumn="0" w:lastRow="0" w:noHBand="0" w:noVBand="1" w:val="04A0"/>
      </w:tblPr>
      <w:tblGrid>
        <w:gridCol w:w="3216"/>
        <w:gridCol w:w="3216"/>
        <w:gridCol w:w="3216"/>
      </w:tblGrid>
      <w:tr>
        <w:tc>
          <w:tcPr>
            <w:tcW w:type="dxa" w:w="3216"/>
          </w:tcPr>
          <w:p>
            <w:r>
              <w:t>Dimension</w:t>
            </w:r>
          </w:p>
        </w:tc>
        <w:tc>
          <w:tcPr>
            <w:tcW w:type="dxa" w:w="3216"/>
          </w:tcPr>
          <w:p>
            <w:r>
              <w:t>Fukushima</w:t>
            </w:r>
          </w:p>
        </w:tc>
        <w:tc>
          <w:tcPr>
            <w:tcW w:type="dxa" w:w="3216"/>
          </w:tcPr>
          <w:p>
            <w:r>
              <w:t>Kansas</w:t>
            </w:r>
          </w:p>
        </w:tc>
      </w:tr>
      <w:tr>
        <w:tc>
          <w:tcPr>
            <w:tcW w:type="dxa" w:w="3216"/>
          </w:tcPr>
          <w:p>
            <w:r>
              <w:t>Policy domain</w:t>
            </w:r>
          </w:p>
        </w:tc>
        <w:tc>
          <w:tcPr>
            <w:tcW w:type="dxa" w:w="3216"/>
          </w:tcPr>
          <w:p>
            <w:r>
              <w:t>Health and radiation protection</w:t>
            </w:r>
          </w:p>
        </w:tc>
        <w:tc>
          <w:tcPr>
            <w:tcW w:type="dxa" w:w="3216"/>
          </w:tcPr>
          <w:p>
            <w:r>
              <w:t>Fiscal policy</w:t>
            </w:r>
          </w:p>
        </w:tc>
      </w:tr>
      <w:tr>
        <w:tc>
          <w:tcPr>
            <w:tcW w:type="dxa" w:w="3216"/>
          </w:tcPr>
          <w:p>
            <w:r>
              <w:t>Canonical relationship</w:t>
            </w:r>
          </w:p>
        </w:tc>
        <w:tc>
          <w:tcPr>
            <w:tcW w:type="dxa" w:w="3216"/>
          </w:tcPr>
          <w:p>
            <w:r>
              <w:t>Dose-response</w:t>
            </w:r>
          </w:p>
        </w:tc>
        <w:tc>
          <w:tcPr>
            <w:tcW w:type="dxa" w:w="3216"/>
          </w:tcPr>
          <w:p>
            <w:r>
              <w:t>Tax rate-revenue</w:t>
            </w:r>
          </w:p>
        </w:tc>
      </w:tr>
      <w:tr>
        <w:tc>
          <w:tcPr>
            <w:tcW w:type="dxa" w:w="3216"/>
          </w:tcPr>
          <w:p>
            <w:r>
              <w:t>Decision-relevant feature</w:t>
            </w:r>
          </w:p>
        </w:tc>
        <w:tc>
          <w:tcPr>
            <w:tcW w:type="dxa" w:w="3216"/>
          </w:tcPr>
          <w:p>
            <w:r>
              <w:t>Low-dose slope and extrapolation</w:t>
            </w:r>
          </w:p>
        </w:tc>
        <w:tc>
          <w:tcPr>
            <w:tcW w:type="dxa" w:w="3216"/>
          </w:tcPr>
          <w:p>
            <w:r>
              <w:t>Local slope and turning point</w:t>
            </w:r>
          </w:p>
        </w:tc>
      </w:tr>
      <w:tr>
        <w:tc>
          <w:tcPr>
            <w:tcW w:type="dxa" w:w="3216"/>
          </w:tcPr>
          <w:p>
            <w:r>
              <w:t>Central uncertainty</w:t>
            </w:r>
          </w:p>
        </w:tc>
        <w:tc>
          <w:tcPr>
            <w:tcW w:type="dxa" w:w="3216"/>
          </w:tcPr>
          <w:p>
            <w:r>
              <w:t>Extrapolation below the observed range</w:t>
            </w:r>
          </w:p>
        </w:tc>
        <w:tc>
          <w:tcPr>
            <w:tcW w:type="dxa" w:w="3216"/>
          </w:tcPr>
          <w:p>
            <w:r>
              <w:t>Unknown position and behavioral response</w:t>
            </w:r>
          </w:p>
        </w:tc>
      </w:tr>
      <w:tr>
        <w:tc>
          <w:tcPr>
            <w:tcW w:type="dxa" w:w="3216"/>
          </w:tcPr>
          <w:p>
            <w:r>
              <w:t>Principal downside of error</w:t>
            </w:r>
          </w:p>
        </w:tc>
        <w:tc>
          <w:tcPr>
            <w:tcW w:type="dxa" w:w="3216"/>
          </w:tcPr>
          <w:p>
            <w:r>
              <w:t>Health and displacement harms</w:t>
            </w:r>
          </w:p>
        </w:tc>
        <w:tc>
          <w:tcPr>
            <w:tcW w:type="dxa" w:w="3216"/>
          </w:tcPr>
          <w:p>
            <w:r>
              <w:t>Revenue and growth effects</w:t>
            </w:r>
          </w:p>
        </w:tc>
      </w:tr>
      <w:tr>
        <w:tc>
          <w:tcPr>
            <w:tcW w:type="dxa" w:w="3216"/>
          </w:tcPr>
          <w:p>
            <w:r>
              <w:t>Reversibility</w:t>
            </w:r>
          </w:p>
        </w:tc>
        <w:tc>
          <w:tcPr>
            <w:tcW w:type="dxa" w:w="3216"/>
          </w:tcPr>
          <w:p>
            <w:r>
              <w:t>Relatively limited</w:t>
            </w:r>
          </w:p>
        </w:tc>
        <w:tc>
          <w:tcPr>
            <w:tcW w:type="dxa" w:w="3216"/>
          </w:tcPr>
          <w:p>
            <w:r>
              <w:t>Comparatively greater</w:t>
            </w:r>
          </w:p>
        </w:tc>
      </w:tr>
      <w:tr>
        <w:tc>
          <w:tcPr>
            <w:tcW w:type="dxa" w:w="3216"/>
          </w:tcPr>
          <w:p>
            <w:r>
              <w:t>Functional-form dependence</w:t>
            </w:r>
          </w:p>
        </w:tc>
        <w:tc>
          <w:tcPr>
            <w:tcW w:type="dxa" w:w="3216"/>
          </w:tcPr>
          <w:p>
            <w:r>
              <w:t>High if action changes under alternative plausible shapes</w:t>
            </w:r>
          </w:p>
        </w:tc>
        <w:tc>
          <w:tcPr>
            <w:tcW w:type="dxa" w:w="3216"/>
          </w:tcPr>
          <w:p>
            <w:r>
              <w:t>High if expected fiscal response depends on local curve geometry</w:t>
            </w:r>
          </w:p>
        </w:tc>
      </w:tr>
    </w:tbl>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