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Editor-in-Chief,</w:t>
      </w:r>
    </w:p>
    <w:p>
      <w:r>
        <w:t>I submit the Analysis article, "Functional-Form Dependence in Evidence-Based Policymaking: Mapping Canonical Relationships and Two Policy Demonstrations." The manuscript develops functional-form dependence as a decision-facing problem in evidence-based policymaking: a policy may depend on a threshold, turning point, or response shape that is not identified over the range where the policy operates.</w:t>
      </w:r>
    </w:p>
    <w:p>
      <w:r>
        <w:t>The article develops a decision-facing appraisal framework, uses a purposive cross-domain mapping as motivation, and then demonstrates different parts of the framework through Fukushima evacuation and Kansas tax reform. The framework links association, shape identification, policy-relevant range, decision dependence, consequence asymmetry, transportability, and reversibility.</w:t>
      </w:r>
    </w:p>
    <w:p>
      <w:r>
        <w:t>Policy Sciences is the appropriate venue because the contribution is problem-oriented, connects evidence use to policy design under uncertainty, and derives applied lessons from multi-method analysis rather than presenting the cases as stand-alone program evaluations.</w:t>
      </w:r>
    </w:p>
    <w:p>
      <w:r>
        <w:t>The manuscript is original and is not under consideration elsewhere. All data are from public sources, a double-anonymous reviewer archive is included, reproducibility materials are available at https://github.com/bougtoir/canonical-curves-reexamination, and I declare no competing interests or external funding.</w:t>
      </w:r>
    </w:p>
    <w:p>
      <w:r>
        <w:t>Sincerely,</w:t>
        <w:br/>
        <w:t>Onishi Tatsuki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240" w:after="120"/>
    </w:pPr>
    <w:rPr>
      <w:rFonts w:ascii="Times New Roman" w:hAnsi="Times New Roman" w:eastAsia="Times New Roman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