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Editor-in-Chief,</w:t>
      </w:r>
    </w:p>
    <w:p>
      <w:r>
        <w:t>I submit the original research article, "When Policy Depends on a Curve: Functional-Form Dependence in Evidence-Based Policymaking," for consideration in Policy Studies. The article addresses a practical weakness in evidence-based policy analysis: a policy recommendation may depend not merely on whether an empirical association exists, but on whether the specific threshold, slope, curvature, turning point, or extrapolated response shape that the decision requires is actually identified over the policy-relevant range.</w:t>
      </w:r>
    </w:p>
    <w:p>
      <w:r>
        <w:t>Existing appraisal practices can miss this problem because they concentrate on the credibility of an estimate or the strength of a causal design. A study can be highly credible for estimating an average contrast while providing little evidence about the feature of the response function that the policy actually needs. The article names the resulting condition functional-form dependence and develops a decision-facing appraisal framework that links the empirical relationship, the assumed shape, the policy-relevant range, decision sensitivity, consequence asymmetry, transportability, and reversibility. The framework is offered as a practical appraisal tool for use before or during policy design, not as a universal policy theory.</w:t>
      </w:r>
    </w:p>
    <w:p>
      <w:r>
        <w:t>Three connected components support the argument. A purposive cross-domain mapping applies one transparent nonlinear diagnostic to 50 canonical relationships and shows that fragile shape identification is not confined to a single policy field. Two substantively different applications then show how the dependence reaches real decisions: post-Fukushima evacuation under low-dose radiation-risk assumptions, where extrapolation below the observed range met asymmetric and partly irreversible harms, and the Kansas tax reform, where a theoretically possible revenue response did not identify the state's local position, slope, or dynamic adjustment. A direct cross-case synthesis explains how the same decision-level condition arises through different mechanisms.</w:t>
      </w:r>
    </w:p>
    <w:p>
      <w:r>
        <w:t>The design is deliberately cross-domain because the problem is cross-domain. Radiation protection and fiscal policy share no dataset, institution, or political context, yet both debates treated a named curve as more identified than the evidence over the relevant range established. That heterogeneity is what makes the appraisal problem general and why its management - exposing the shape assumption, testing decisions under plausible alternatives, and choosing action architectures that preserve the option to learn - should interest Policy Studies readers concerned with evidence use, policy appraisal, and policy design under uncertainty.</w:t>
      </w:r>
    </w:p>
    <w:p>
      <w:r>
        <w:t>The manuscript is interdisciplinary, empirically grounded in public data, and policy-facing; the framework generalizes beyond the two applications. It is original and is not under consideration elsewhere. All data are from public sources, a double-anonymous reviewer archive is included, reproducibility materials are available at https://github.com/bougtoir/canonical-curves-reexamination, and I declare no competing interests or external funding.</w:t>
      </w:r>
    </w:p>
    <w:p>
      <w:r>
        <w:t>Sincerely,</w:t>
        <w:br/>
        <w:t>Onishi Tatsuki</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