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often depend on the shape of an empirical relationship, not merely on an association. I define functional-form dependence as reliance on a threshold, slope, turning point, or extrapolated response that is less securely identified than the policy assumes. A structured comparison of post-Fukushima evacuation and Kansas tax reform examines decision-relevant shape, uncertainty, transportability, consequence asymmetry, reversibility, and learning capacity. The cases share the same mechanism but differ in its policy significance. A purposive mapping of 50 canonical relationships provides background motivation. The comparison yields transferable lessons for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assumptions about tax-rate-revenue and growth responses.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drawing>
          <wp:inline xmlns:a="http://schemas.openxmlformats.org/drawingml/2006/main" xmlns:pic="http://schemas.openxmlformats.org/drawingml/2006/picture">
            <wp:extent cx="5852160" cy="6755018"/>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852160" cy="6755018"/>
                    </a:xfrm>
                    <a:prstGeom prst="rect"/>
                  </pic:spPr>
                </pic:pic>
              </a:graphicData>
            </a:graphic>
          </wp:inline>
        </w:drawing>
      </w:r>
    </w:p>
    <w:p>
      <w:pPr>
        <w:pStyle w:val="Caption"/>
        <w:spacing w:before="240"/>
        <w:jc w:val="center"/>
      </w:pPr>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drawing>
          <wp:inline xmlns:a="http://schemas.openxmlformats.org/drawingml/2006/main" xmlns:pic="http://schemas.openxmlformats.org/drawingml/2006/picture">
            <wp:extent cx="5852160" cy="621640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852160" cy="6216402"/>
                    </a:xfrm>
                    <a:prstGeom prst="rect"/>
                  </pic:spPr>
                </pic:pic>
              </a:graphicData>
            </a:graphic>
          </wp:inline>
        </w:drawing>
      </w:r>
    </w:p>
    <w:p>
      <w:pPr>
        <w:pStyle w:val="Caption"/>
        <w:spacing w:before="240"/>
        <w:jc w:val="center"/>
      </w:pPr>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drawing>
          <wp:inline xmlns:a="http://schemas.openxmlformats.org/drawingml/2006/main" xmlns:pic="http://schemas.openxmlformats.org/drawingml/2006/picture">
            <wp:extent cx="5852160" cy="3895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852160" cy="3895105"/>
                    </a:xfrm>
                    <a:prstGeom prst="rect"/>
                  </pic:spPr>
                </pic:pic>
              </a:graphicData>
            </a:graphic>
          </wp:inline>
        </w:drawing>
      </w:r>
    </w:p>
    <w:p>
      <w:pPr>
        <w:pStyle w:val="Caption"/>
        <w:spacing w:before="240"/>
        <w:jc w:val="center"/>
      </w:pPr>
      <w:r>
        <w:t>Figure 3. Share of 50 relationship-dataset pairs not classified as robustly nonlinear across significance levels and Cook-distance removal counts. Cell labels report percentages; the color scale spans 0-100%.</w:t>
      </w:r>
    </w:p>
    <w:p>
      <w:pPr>
        <w:pStyle w:val="Caption"/>
        <w:spacing w:before="240"/>
        <w:jc w:val="center"/>
      </w:pPr>
      <w:r>
        <w:t>Table 1. Cross-domain mapping classifications by category. Counts describe the purposive relationship-dataset inventory and are not prevalence estimates for scientific theories or literatures.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378"/>
        <w:gridCol w:w="1378"/>
        <w:gridCol w:w="1378"/>
        <w:gridCol w:w="1378"/>
        <w:gridCol w:w="1378"/>
        <w:gridCol w:w="1378"/>
        <w:gridCol w:w="1378"/>
      </w:tblGrid>
      <w:tr>
        <w:tc>
          <w:tcPr>
            <w:tcW w:type="dxa" w:w="1378"/>
            <w:tcBorders>
              <w:bottom w:val="single" w:sz="8"/>
            </w:tcBorders>
          </w:tcPr>
          <w:p>
            <w:pPr>
              <w:spacing w:line="240" w:lineRule="auto" w:after="40"/>
            </w:pPr>
            <w:r>
              <w:rPr>
                <w:rFonts w:ascii="Times New Roman" w:hAnsi="Times New Roman"/>
                <w:sz w:val="18"/>
              </w:rPr>
              <w:t>Category</w:t>
            </w:r>
          </w:p>
        </w:tc>
        <w:tc>
          <w:tcPr>
            <w:tcW w:type="dxa" w:w="1378"/>
            <w:tcBorders>
              <w:bottom w:val="single" w:sz="8"/>
            </w:tcBorders>
          </w:tcPr>
          <w:p>
            <w:pPr>
              <w:spacing w:line="240" w:lineRule="auto" w:after="40"/>
            </w:pPr>
            <w:r>
              <w:rPr>
                <w:rFonts w:ascii="Times New Roman" w:hAnsi="Times New Roman"/>
                <w:sz w:val="18"/>
              </w:rPr>
              <w:t>Robust nonlinear</w:t>
            </w:r>
          </w:p>
        </w:tc>
        <w:tc>
          <w:tcPr>
            <w:tcW w:type="dxa" w:w="1378"/>
            <w:tcBorders>
              <w:bottom w:val="single" w:sz="8"/>
            </w:tcBorders>
          </w:tcPr>
          <w:p>
            <w:pPr>
              <w:spacing w:line="240" w:lineRule="auto" w:after="40"/>
            </w:pPr>
            <w:r>
              <w:rPr>
                <w:rFonts w:ascii="Times New Roman" w:hAnsi="Times New Roman"/>
                <w:sz w:val="18"/>
              </w:rPr>
              <w:t>Not significant</w:t>
            </w:r>
          </w:p>
        </w:tc>
        <w:tc>
          <w:tcPr>
            <w:tcW w:type="dxa" w:w="1378"/>
            <w:tcBorders>
              <w:bottom w:val="single" w:sz="8"/>
            </w:tcBorders>
          </w:tcPr>
          <w:p>
            <w:pPr>
              <w:spacing w:line="240" w:lineRule="auto" w:after="40"/>
            </w:pPr>
            <w:r>
              <w:rPr>
                <w:rFonts w:ascii="Times New Roman" w:hAnsi="Times New Roman"/>
                <w:sz w:val="18"/>
              </w:rPr>
              <w:t>Outlier dependent</w:t>
            </w:r>
          </w:p>
        </w:tc>
        <w:tc>
          <w:tcPr>
            <w:tcW w:type="dxa" w:w="1378"/>
            <w:tcBorders>
              <w:bottom w:val="single" w:sz="8"/>
            </w:tcBorders>
          </w:tcPr>
          <w:p>
            <w:pPr>
              <w:spacing w:line="240" w:lineRule="auto" w:after="40"/>
            </w:pPr>
            <w:r>
              <w:rPr>
                <w:rFonts w:ascii="Times New Roman" w:hAnsi="Times New Roman"/>
                <w:sz w:val="18"/>
              </w:rPr>
              <w:t>Overfitting</w:t>
            </w:r>
          </w:p>
        </w:tc>
        <w:tc>
          <w:tcPr>
            <w:tcW w:type="dxa" w:w="1378"/>
            <w:tcBorders>
              <w:bottom w:val="single" w:sz="8"/>
            </w:tcBorders>
          </w:tcPr>
          <w:p>
            <w:pPr>
              <w:spacing w:line="240" w:lineRule="auto" w:after="40"/>
            </w:pPr>
            <w:r>
              <w:rPr>
                <w:rFonts w:ascii="Times New Roman" w:hAnsi="Times New Roman"/>
                <w:sz w:val="18"/>
              </w:rPr>
              <w:t>Insufficient data</w:t>
            </w:r>
          </w:p>
        </w:tc>
        <w:tc>
          <w:tcPr>
            <w:tcW w:type="dxa" w:w="1378"/>
            <w:tcBorders>
              <w:bottom w:val="single" w:sz="8"/>
            </w:tcBorders>
          </w:tcPr>
          <w:p>
            <w:pPr>
              <w:spacing w:line="240" w:lineRule="auto" w:after="40"/>
            </w:pPr>
            <w:r>
              <w:rPr>
                <w:rFonts w:ascii="Times New Roman" w:hAnsi="Times New Roman"/>
                <w:sz w:val="18"/>
              </w:rPr>
              <w:t>Total</w:t>
            </w:r>
          </w:p>
        </w:tc>
      </w:tr>
      <w:tr>
        <w:tc>
          <w:tcPr>
            <w:tcW w:type="dxa" w:w="1378"/>
          </w:tcPr>
          <w:p>
            <w:pPr>
              <w:spacing w:line="240" w:lineRule="auto" w:after="40"/>
            </w:pPr>
            <w:r>
              <w:rPr>
                <w:rFonts w:ascii="Times New Roman" w:hAnsi="Times New Roman"/>
                <w:sz w:val="18"/>
              </w:rPr>
              <w:t>Agriculture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Demography</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Economics</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8</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12</w:t>
            </w:r>
          </w:p>
        </w:tc>
      </w:tr>
      <w:tr>
        <w:tc>
          <w:tcPr>
            <w:tcW w:type="dxa" w:w="1378"/>
          </w:tcPr>
          <w:p>
            <w:pPr>
              <w:spacing w:line="240" w:lineRule="auto" w:after="40"/>
            </w:pPr>
            <w:r>
              <w:rPr>
                <w:rFonts w:ascii="Times New Roman" w:hAnsi="Times New Roman"/>
                <w:sz w:val="18"/>
              </w:rPr>
              <w:t>Environmental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6</w:t>
            </w:r>
          </w:p>
        </w:tc>
      </w:tr>
      <w:tr>
        <w:tc>
          <w:tcPr>
            <w:tcW w:type="dxa" w:w="1378"/>
          </w:tcPr>
          <w:p>
            <w:pPr>
              <w:spacing w:line="240" w:lineRule="auto" w:after="40"/>
            </w:pPr>
            <w:r>
              <w:rPr>
                <w:rFonts w:ascii="Times New Roman" w:hAnsi="Times New Roman"/>
                <w:sz w:val="18"/>
              </w:rPr>
              <w:t>Physics</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4</w:t>
            </w:r>
          </w:p>
        </w:tc>
      </w:tr>
      <w:tr>
        <w:tc>
          <w:tcPr>
            <w:tcW w:type="dxa" w:w="1378"/>
          </w:tcPr>
          <w:p>
            <w:pPr>
              <w:spacing w:line="240" w:lineRule="auto" w:after="40"/>
            </w:pPr>
            <w:r>
              <w:rPr>
                <w:rFonts w:ascii="Times New Roman" w:hAnsi="Times New Roman"/>
                <w:sz w:val="18"/>
              </w:rPr>
              <w:t>Political Science</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5</w:t>
            </w:r>
          </w:p>
        </w:tc>
      </w:tr>
      <w:tr>
        <w:tc>
          <w:tcPr>
            <w:tcW w:type="dxa" w:w="1378"/>
          </w:tcPr>
          <w:p>
            <w:pPr>
              <w:spacing w:line="240" w:lineRule="auto" w:after="40"/>
            </w:pPr>
            <w:r>
              <w:rPr>
                <w:rFonts w:ascii="Times New Roman" w:hAnsi="Times New Roman"/>
                <w:sz w:val="18"/>
              </w:rPr>
              <w:t>Psychology</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3</w:t>
            </w:r>
          </w:p>
        </w:tc>
      </w:tr>
      <w:tr>
        <w:tc>
          <w:tcPr>
            <w:tcW w:type="dxa" w:w="1378"/>
          </w:tcPr>
          <w:p>
            <w:pPr>
              <w:spacing w:line="240" w:lineRule="auto" w:after="40"/>
            </w:pPr>
            <w:r>
              <w:rPr>
                <w:rFonts w:ascii="Times New Roman" w:hAnsi="Times New Roman"/>
                <w:sz w:val="18"/>
              </w:rPr>
              <w:t>Public Health</w:t>
            </w:r>
          </w:p>
        </w:tc>
        <w:tc>
          <w:tcPr>
            <w:tcW w:type="dxa" w:w="1378"/>
          </w:tcPr>
          <w:p>
            <w:pPr>
              <w:spacing w:line="240" w:lineRule="auto" w:after="40"/>
            </w:pPr>
            <w:r>
              <w:rPr>
                <w:rFonts w:ascii="Times New Roman" w:hAnsi="Times New Roman"/>
                <w:sz w:val="18"/>
              </w:rPr>
              <w:t>3</w:t>
            </w:r>
          </w:p>
        </w:tc>
        <w:tc>
          <w:tcPr>
            <w:tcW w:type="dxa" w:w="1378"/>
          </w:tcPr>
          <w:p>
            <w:pPr>
              <w:spacing w:line="240" w:lineRule="auto" w:after="40"/>
            </w:pPr>
            <w:r>
              <w:rPr>
                <w:rFonts w:ascii="Times New Roman" w:hAnsi="Times New Roman"/>
                <w:sz w:val="18"/>
              </w:rPr>
              <w:t>6</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0</w:t>
            </w:r>
          </w:p>
        </w:tc>
        <w:tc>
          <w:tcPr>
            <w:tcW w:type="dxa" w:w="1378"/>
          </w:tcPr>
          <w:p>
            <w:pPr>
              <w:spacing w:line="240" w:lineRule="auto" w:after="40"/>
            </w:pPr>
            <w:r>
              <w:rPr>
                <w:rFonts w:ascii="Times New Roman" w:hAnsi="Times New Roman"/>
                <w:sz w:val="18"/>
              </w:rPr>
              <w:t>10</w:t>
            </w:r>
          </w:p>
        </w:tc>
      </w:tr>
      <w:tr>
        <w:tc>
          <w:tcPr>
            <w:tcW w:type="dxa" w:w="1378"/>
          </w:tcPr>
          <w:p>
            <w:pPr>
              <w:spacing w:line="240" w:lineRule="auto" w:after="40"/>
            </w:pPr>
            <w:r>
              <w:rPr>
                <w:rFonts w:ascii="Times New Roman" w:hAnsi="Times New Roman"/>
                <w:sz w:val="18"/>
              </w:rPr>
              <w:t>Total</w:t>
            </w:r>
          </w:p>
        </w:tc>
        <w:tc>
          <w:tcPr>
            <w:tcW w:type="dxa" w:w="1378"/>
          </w:tcPr>
          <w:p>
            <w:pPr>
              <w:spacing w:line="240" w:lineRule="auto" w:after="40"/>
            </w:pPr>
            <w:r>
              <w:rPr>
                <w:rFonts w:ascii="Times New Roman" w:hAnsi="Times New Roman"/>
                <w:sz w:val="18"/>
              </w:rPr>
              <w:t>16</w:t>
            </w:r>
          </w:p>
        </w:tc>
        <w:tc>
          <w:tcPr>
            <w:tcW w:type="dxa" w:w="1378"/>
          </w:tcPr>
          <w:p>
            <w:pPr>
              <w:spacing w:line="240" w:lineRule="auto" w:after="40"/>
            </w:pPr>
            <w:r>
              <w:rPr>
                <w:rFonts w:ascii="Times New Roman" w:hAnsi="Times New Roman"/>
                <w:sz w:val="18"/>
              </w:rPr>
              <w:t>27</w:t>
            </w:r>
          </w:p>
        </w:tc>
        <w:tc>
          <w:tcPr>
            <w:tcW w:type="dxa" w:w="1378"/>
          </w:tcPr>
          <w:p>
            <w:pPr>
              <w:spacing w:line="240" w:lineRule="auto" w:after="40"/>
            </w:pPr>
            <w:r>
              <w:rPr>
                <w:rFonts w:ascii="Times New Roman" w:hAnsi="Times New Roman"/>
                <w:sz w:val="18"/>
              </w:rPr>
              <w:t>4</w:t>
            </w:r>
          </w:p>
        </w:tc>
        <w:tc>
          <w:tcPr>
            <w:tcW w:type="dxa" w:w="1378"/>
          </w:tcPr>
          <w:p>
            <w:pPr>
              <w:spacing w:line="240" w:lineRule="auto" w:after="40"/>
            </w:pPr>
            <w:r>
              <w:rPr>
                <w:rFonts w:ascii="Times New Roman" w:hAnsi="Times New Roman"/>
                <w:sz w:val="18"/>
              </w:rPr>
              <w:t>1</w:t>
            </w:r>
          </w:p>
        </w:tc>
        <w:tc>
          <w:tcPr>
            <w:tcW w:type="dxa" w:w="1378"/>
          </w:tcPr>
          <w:p>
            <w:pPr>
              <w:spacing w:line="240" w:lineRule="auto" w:after="40"/>
            </w:pPr>
            <w:r>
              <w:rPr>
                <w:rFonts w:ascii="Times New Roman" w:hAnsi="Times New Roman"/>
                <w:sz w:val="18"/>
              </w:rPr>
              <w:t>2</w:t>
            </w:r>
          </w:p>
        </w:tc>
        <w:tc>
          <w:tcPr>
            <w:tcW w:type="dxa" w:w="1378"/>
          </w:tcPr>
          <w:p>
            <w:pPr>
              <w:spacing w:line="240" w:lineRule="auto" w:after="40"/>
            </w:pPr>
            <w:r>
              <w:rPr>
                <w:rFonts w:ascii="Times New Roman" w:hAnsi="Times New Roman"/>
                <w:sz w:val="18"/>
              </w:rPr>
              <w:t>50</w:t>
            </w:r>
          </w:p>
        </w:tc>
      </w:tr>
    </w:tbl>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drawing>
          <wp:inline xmlns:a="http://schemas.openxmlformats.org/drawingml/2006/main" xmlns:pic="http://schemas.openxmlformats.org/drawingml/2006/picture">
            <wp:extent cx="5852160" cy="3000054"/>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852160" cy="3000054"/>
                    </a:xfrm>
                    <a:prstGeom prst="rect"/>
                  </pic:spPr>
                </pic:pic>
              </a:graphicData>
            </a:graphic>
          </wp:inline>
        </w:drawing>
      </w:r>
    </w:p>
    <w:p>
      <w:pPr>
        <w:pStyle w:val="Caption"/>
        <w:spacing w:before="240"/>
        <w:jc w:val="center"/>
      </w:pPr>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pPr>
        <w:pStyle w:val="Caption"/>
        <w:spacing w:before="240"/>
        <w:jc w:val="center"/>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206"/>
        <w:gridCol w:w="1206"/>
        <w:gridCol w:w="1206"/>
        <w:gridCol w:w="1206"/>
        <w:gridCol w:w="1206"/>
        <w:gridCol w:w="1206"/>
        <w:gridCol w:w="1206"/>
        <w:gridCol w:w="1206"/>
      </w:tblGrid>
      <w:tr>
        <w:tc>
          <w:tcPr>
            <w:tcW w:type="dxa" w:w="1206"/>
            <w:tcBorders>
              <w:bottom w:val="single" w:sz="8"/>
            </w:tcBorders>
          </w:tcPr>
          <w:p>
            <w:pPr>
              <w:spacing w:line="240" w:lineRule="auto" w:after="40"/>
            </w:pPr>
            <w:r>
              <w:rPr>
                <w:rFonts w:ascii="Times New Roman" w:hAnsi="Times New Roman"/>
                <w:sz w:val="18"/>
              </w:rPr>
              <w:t>Group</w:t>
            </w:r>
          </w:p>
        </w:tc>
        <w:tc>
          <w:tcPr>
            <w:tcW w:type="dxa" w:w="1206"/>
            <w:tcBorders>
              <w:bottom w:val="single" w:sz="8"/>
            </w:tcBorders>
          </w:tcPr>
          <w:p>
            <w:pPr>
              <w:spacing w:line="240" w:lineRule="auto" w:after="40"/>
            </w:pPr>
            <w:r>
              <w:rPr>
                <w:rFonts w:ascii="Times New Roman" w:hAnsi="Times New Roman"/>
                <w:sz w:val="18"/>
              </w:rPr>
              <w:t>Controls</w:t>
            </w:r>
          </w:p>
        </w:tc>
        <w:tc>
          <w:tcPr>
            <w:tcW w:type="dxa" w:w="1206"/>
            <w:tcBorders>
              <w:bottom w:val="single" w:sz="8"/>
            </w:tcBorders>
          </w:tcPr>
          <w:p>
            <w:pPr>
              <w:spacing w:line="240" w:lineRule="auto" w:after="40"/>
            </w:pPr>
            <w:r>
              <w:rPr>
                <w:rFonts w:ascii="Times New Roman" w:hAnsi="Times New Roman"/>
                <w:sz w:val="18"/>
              </w:rPr>
              <w:t>Weighting</w:t>
            </w:r>
          </w:p>
        </w:tc>
        <w:tc>
          <w:tcPr>
            <w:tcW w:type="dxa" w:w="1206"/>
            <w:tcBorders>
              <w:bottom w:val="single" w:sz="8"/>
            </w:tcBorders>
          </w:tcPr>
          <w:p>
            <w:pPr>
              <w:spacing w:line="240" w:lineRule="auto" w:after="40"/>
            </w:pPr>
            <w:r>
              <w:rPr>
                <w:rFonts w:ascii="Times New Roman" w:hAnsi="Times New Roman"/>
                <w:sz w:val="18"/>
              </w:rPr>
              <w:t>Age control</w:t>
            </w:r>
          </w:p>
        </w:tc>
        <w:tc>
          <w:tcPr>
            <w:tcW w:type="dxa" w:w="1206"/>
            <w:tcBorders>
              <w:bottom w:val="single" w:sz="8"/>
            </w:tcBorders>
          </w:tcPr>
          <w:p>
            <w:pPr>
              <w:spacing w:line="240" w:lineRule="auto" w:after="40"/>
            </w:pPr>
            <w:r>
              <w:rPr>
                <w:rFonts w:ascii="Times New Roman" w:hAnsi="Times New Roman"/>
                <w:sz w:val="18"/>
              </w:rPr>
              <w:t>ATT (log points)</w:t>
            </w:r>
          </w:p>
        </w:tc>
        <w:tc>
          <w:tcPr>
            <w:tcW w:type="dxa" w:w="1206"/>
            <w:tcBorders>
              <w:bottom w:val="single" w:sz="8"/>
            </w:tcBorders>
          </w:tcPr>
          <w:p>
            <w:pPr>
              <w:spacing w:line="240" w:lineRule="auto" w:after="40"/>
            </w:pPr>
            <w:r>
              <w:rPr>
                <w:rFonts w:ascii="Times New Roman" w:hAnsi="Times New Roman"/>
                <w:sz w:val="18"/>
              </w:rPr>
              <w:t>Permutation p</w:t>
            </w:r>
          </w:p>
        </w:tc>
        <w:tc>
          <w:tcPr>
            <w:tcW w:type="dxa" w:w="1206"/>
            <w:tcBorders>
              <w:bottom w:val="single" w:sz="8"/>
            </w:tcBorders>
          </w:tcPr>
          <w:p>
            <w:pPr>
              <w:spacing w:line="240" w:lineRule="auto" w:after="40"/>
            </w:pPr>
            <w:r>
              <w:rPr>
                <w:rFonts w:ascii="Times New Roman" w:hAnsi="Times New Roman"/>
                <w:sz w:val="18"/>
              </w:rPr>
              <w:t>Pre-trend p</w:t>
            </w:r>
          </w:p>
        </w:tc>
        <w:tc>
          <w:tcPr>
            <w:tcW w:type="dxa" w:w="1206"/>
            <w:tcBorders>
              <w:bottom w:val="single" w:sz="8"/>
            </w:tcBorders>
          </w:tcPr>
          <w:p>
            <w:pPr>
              <w:spacing w:line="240" w:lineRule="auto" w:after="40"/>
            </w:pPr>
            <w:r>
              <w:rPr>
                <w:rFonts w:ascii="Times New Roman" w:hAnsi="Times New Roman"/>
                <w:sz w:val="18"/>
              </w:rPr>
              <w:t>Implied deaths 2012-2019</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-0.057</w:t>
            </w:r>
          </w:p>
        </w:tc>
        <w:tc>
          <w:tcPr>
            <w:tcW w:type="dxa" w:w="1206"/>
          </w:tcPr>
          <w:p>
            <w:pPr>
              <w:spacing w:line="240" w:lineRule="auto" w:after="40"/>
            </w:pPr>
            <w:r>
              <w:rPr>
                <w:rFonts w:ascii="Times New Roman" w:hAnsi="Times New Roman"/>
                <w:sz w:val="18"/>
              </w:rPr>
              <w:t>0.002</w:t>
            </w:r>
          </w:p>
        </w:tc>
        <w:tc>
          <w:tcPr>
            <w:tcW w:type="dxa" w:w="1206"/>
          </w:tcPr>
          <w:p>
            <w:pPr>
              <w:spacing w:line="240" w:lineRule="auto" w:after="40"/>
            </w:pPr>
            <w:r>
              <w:rPr>
                <w:rFonts w:ascii="Times New Roman" w:hAnsi="Times New Roman"/>
                <w:sz w:val="18"/>
              </w:rPr>
              <w:t>0.268</w:t>
            </w:r>
          </w:p>
        </w:tc>
        <w:tc>
          <w:tcPr>
            <w:tcW w:type="dxa" w:w="1206"/>
          </w:tcPr>
          <w:p>
            <w:pPr>
              <w:spacing w:line="240" w:lineRule="auto" w:after="40"/>
            </w:pPr>
            <w:r>
              <w:rPr>
                <w:rFonts w:ascii="Times New Roman" w:hAnsi="Times New Roman"/>
                <w:sz w:val="18"/>
              </w:rPr>
              <w:t>-877</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-0.066</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0.335</w:t>
            </w:r>
          </w:p>
        </w:tc>
        <w:tc>
          <w:tcPr>
            <w:tcW w:type="dxa" w:w="1206"/>
          </w:tcPr>
          <w:p>
            <w:pPr>
              <w:spacing w:line="240" w:lineRule="auto" w:after="40"/>
            </w:pPr>
            <w:r>
              <w:rPr>
                <w:rFonts w:ascii="Times New Roman" w:hAnsi="Times New Roman"/>
                <w:sz w:val="18"/>
              </w:rPr>
              <w:t>-1,018</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-0.072</w:t>
            </w:r>
          </w:p>
        </w:tc>
        <w:tc>
          <w:tcPr>
            <w:tcW w:type="dxa" w:w="1206"/>
          </w:tcPr>
          <w:p>
            <w:pPr>
              <w:spacing w:line="240" w:lineRule="auto" w:after="40"/>
            </w:pPr>
            <w:r>
              <w:rPr>
                <w:rFonts w:ascii="Times New Roman" w:hAnsi="Times New Roman"/>
                <w:sz w:val="18"/>
              </w:rPr>
              <w:t>0.002</w:t>
            </w:r>
          </w:p>
        </w:tc>
        <w:tc>
          <w:tcPr>
            <w:tcW w:type="dxa" w:w="1206"/>
          </w:tcPr>
          <w:p>
            <w:pPr>
              <w:spacing w:line="240" w:lineRule="auto" w:after="40"/>
            </w:pPr>
            <w:r>
              <w:rPr>
                <w:rFonts w:ascii="Times New Roman" w:hAnsi="Times New Roman"/>
                <w:sz w:val="18"/>
              </w:rPr>
              <w:t>0.039</w:t>
            </w:r>
          </w:p>
        </w:tc>
        <w:tc>
          <w:tcPr>
            <w:tcW w:type="dxa" w:w="1206"/>
          </w:tcPr>
          <w:p>
            <w:pPr>
              <w:spacing w:line="240" w:lineRule="auto" w:after="40"/>
            </w:pPr>
            <w:r>
              <w:rPr>
                <w:rFonts w:ascii="Times New Roman" w:hAnsi="Times New Roman"/>
                <w:sz w:val="18"/>
              </w:rPr>
              <w:t>-1,123</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-0.072</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0.035</w:t>
            </w:r>
          </w:p>
        </w:tc>
        <w:tc>
          <w:tcPr>
            <w:tcW w:type="dxa" w:w="1206"/>
          </w:tcPr>
          <w:p>
            <w:pPr>
              <w:spacing w:line="240" w:lineRule="auto" w:after="40"/>
            </w:pPr>
            <w:r>
              <w:rPr>
                <w:rFonts w:ascii="Times New Roman" w:hAnsi="Times New Roman"/>
                <w:sz w:val="18"/>
              </w:rPr>
              <w:t>-1,109</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-0.085</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0.847</w:t>
            </w:r>
          </w:p>
        </w:tc>
        <w:tc>
          <w:tcPr>
            <w:tcW w:type="dxa" w:w="1206"/>
          </w:tcPr>
          <w:p>
            <w:pPr>
              <w:spacing w:line="240" w:lineRule="auto" w:after="40"/>
            </w:pPr>
            <w:r>
              <w:rPr>
                <w:rFonts w:ascii="Times New Roman" w:hAnsi="Times New Roman"/>
                <w:sz w:val="18"/>
              </w:rPr>
              <w:t>-1,333</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-0.083</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0.863</w:t>
            </w:r>
          </w:p>
        </w:tc>
        <w:tc>
          <w:tcPr>
            <w:tcW w:type="dxa" w:w="1206"/>
          </w:tcPr>
          <w:p>
            <w:pPr>
              <w:spacing w:line="240" w:lineRule="auto" w:after="40"/>
            </w:pPr>
            <w:r>
              <w:rPr>
                <w:rFonts w:ascii="Times New Roman" w:hAnsi="Times New Roman"/>
                <w:sz w:val="18"/>
              </w:rPr>
              <w:t>-1,291</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-0.085</w:t>
            </w:r>
          </w:p>
        </w:tc>
        <w:tc>
          <w:tcPr>
            <w:tcW w:type="dxa" w:w="1206"/>
          </w:tcPr>
          <w:p>
            <w:pPr>
              <w:spacing w:line="240" w:lineRule="auto" w:after="40"/>
            </w:pPr>
            <w:r>
              <w:rPr>
                <w:rFonts w:ascii="Times New Roman" w:hAnsi="Times New Roman"/>
                <w:sz w:val="18"/>
              </w:rPr>
              <w:t>0.001</w:t>
            </w:r>
          </w:p>
        </w:tc>
        <w:tc>
          <w:tcPr>
            <w:tcW w:type="dxa" w:w="1206"/>
          </w:tcPr>
          <w:p>
            <w:pPr>
              <w:spacing w:line="240" w:lineRule="auto" w:after="40"/>
            </w:pPr>
            <w:r>
              <w:rPr>
                <w:rFonts w:ascii="Times New Roman" w:hAnsi="Times New Roman"/>
                <w:sz w:val="18"/>
              </w:rPr>
              <w:t>0.314</w:t>
            </w:r>
          </w:p>
        </w:tc>
        <w:tc>
          <w:tcPr>
            <w:tcW w:type="dxa" w:w="1206"/>
          </w:tcPr>
          <w:p>
            <w:pPr>
              <w:spacing w:line="240" w:lineRule="auto" w:after="40"/>
            </w:pPr>
            <w:r>
              <w:rPr>
                <w:rFonts w:ascii="Times New Roman" w:hAnsi="Times New Roman"/>
                <w:sz w:val="18"/>
              </w:rPr>
              <w:t>-1,322</w:t>
            </w:r>
          </w:p>
        </w:tc>
      </w:tr>
      <w:tr>
        <w:tc>
          <w:tcPr>
            <w:tcW w:type="dxa" w:w="1206"/>
          </w:tcPr>
          <w:p>
            <w:pPr>
              <w:spacing w:line="240" w:lineRule="auto" w:after="40"/>
            </w:pPr>
            <w:r>
              <w:rPr>
                <w:rFonts w:ascii="Times New Roman" w:hAnsi="Times New Roman"/>
                <w:sz w:val="18"/>
              </w:rPr>
              <w:t>T1</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Yes</w:t>
            </w:r>
          </w:p>
        </w:tc>
        <w:tc>
          <w:tcPr>
            <w:tcW w:type="dxa" w:w="1206"/>
          </w:tcPr>
          <w:p>
            <w:pPr>
              <w:spacing w:line="240" w:lineRule="auto" w:after="40"/>
            </w:pPr>
            <w:r>
              <w:rPr>
                <w:rFonts w:ascii="Times New Roman" w:hAnsi="Times New Roman"/>
                <w:sz w:val="18"/>
              </w:rPr>
              <w:t>-0.079</w:t>
            </w:r>
          </w:p>
        </w:tc>
        <w:tc>
          <w:tcPr>
            <w:tcW w:type="dxa" w:w="1206"/>
          </w:tcPr>
          <w:p>
            <w:pPr>
              <w:spacing w:line="240" w:lineRule="auto" w:after="40"/>
            </w:pPr>
            <w:r>
              <w:rPr>
                <w:rFonts w:ascii="Times New Roman" w:hAnsi="Times New Roman"/>
                <w:sz w:val="18"/>
              </w:rPr>
              <w:t>0.005</w:t>
            </w:r>
          </w:p>
        </w:tc>
        <w:tc>
          <w:tcPr>
            <w:tcW w:type="dxa" w:w="1206"/>
          </w:tcPr>
          <w:p>
            <w:pPr>
              <w:spacing w:line="240" w:lineRule="auto" w:after="40"/>
            </w:pPr>
            <w:r>
              <w:rPr>
                <w:rFonts w:ascii="Times New Roman" w:hAnsi="Times New Roman"/>
                <w:sz w:val="18"/>
              </w:rPr>
              <w:t>0.275</w:t>
            </w:r>
          </w:p>
        </w:tc>
        <w:tc>
          <w:tcPr>
            <w:tcW w:type="dxa" w:w="1206"/>
          </w:tcPr>
          <w:p>
            <w:pPr>
              <w:spacing w:line="240" w:lineRule="auto" w:after="40"/>
            </w:pPr>
            <w:r>
              <w:rPr>
                <w:rFonts w:ascii="Times New Roman" w:hAnsi="Times New Roman"/>
                <w:sz w:val="18"/>
              </w:rPr>
              <w:t>-1,224</w:t>
            </w:r>
          </w:p>
        </w:tc>
      </w:tr>
      <w:tr>
        <w:tc>
          <w:tcPr>
            <w:tcW w:type="dxa" w:w="1206"/>
          </w:tcPr>
          <w:p>
            <w:pPr>
              <w:spacing w:line="240" w:lineRule="auto" w:after="40"/>
            </w:pPr>
            <w:r>
              <w:rPr>
                <w:rFonts w:ascii="Times New Roman" w:hAnsi="Times New Roman"/>
                <w:sz w:val="18"/>
              </w:rPr>
              <w:t>T1w</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-0.116</w:t>
            </w:r>
          </w:p>
        </w:tc>
        <w:tc>
          <w:tcPr>
            <w:tcW w:type="dxa" w:w="1206"/>
          </w:tcPr>
          <w:p>
            <w:pPr>
              <w:spacing w:line="240" w:lineRule="auto" w:after="40"/>
            </w:pPr>
            <w:r>
              <w:rPr>
                <w:rFonts w:ascii="Times New Roman" w:hAnsi="Times New Roman"/>
                <w:sz w:val="18"/>
              </w:rPr>
              <w:t>0.003</w:t>
            </w:r>
          </w:p>
        </w:tc>
        <w:tc>
          <w:tcPr>
            <w:tcW w:type="dxa" w:w="1206"/>
          </w:tcPr>
          <w:p>
            <w:pPr>
              <w:spacing w:line="240" w:lineRule="auto" w:after="40"/>
            </w:pPr>
            <w:r>
              <w:rPr>
                <w:rFonts w:ascii="Times New Roman" w:hAnsi="Times New Roman"/>
                <w:sz w:val="18"/>
              </w:rPr>
              <w:t>0.170</w:t>
            </w:r>
          </w:p>
        </w:tc>
        <w:tc>
          <w:tcPr>
            <w:tcW w:type="dxa" w:w="1206"/>
          </w:tcPr>
          <w:p>
            <w:pPr>
              <w:spacing w:line="240" w:lineRule="auto" w:after="40"/>
            </w:pPr>
            <w:r>
              <w:rPr>
                <w:rFonts w:ascii="Times New Roman" w:hAnsi="Times New Roman"/>
                <w:sz w:val="18"/>
              </w:rPr>
              <w:t>-405</w:t>
            </w:r>
          </w:p>
        </w:tc>
      </w:tr>
      <w:tr>
        <w:tc>
          <w:tcPr>
            <w:tcW w:type="dxa" w:w="1206"/>
          </w:tcPr>
          <w:p>
            <w:pPr>
              <w:spacing w:line="240" w:lineRule="auto" w:after="40"/>
            </w:pPr>
            <w:r>
              <w:rPr>
                <w:rFonts w:ascii="Times New Roman" w:hAnsi="Times New Roman"/>
                <w:sz w:val="18"/>
              </w:rPr>
              <w:t>T1w</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-0.129</w:t>
            </w:r>
          </w:p>
        </w:tc>
        <w:tc>
          <w:tcPr>
            <w:tcW w:type="dxa" w:w="1206"/>
          </w:tcPr>
          <w:p>
            <w:pPr>
              <w:spacing w:line="240" w:lineRule="auto" w:after="40"/>
            </w:pPr>
            <w:r>
              <w:rPr>
                <w:rFonts w:ascii="Times New Roman" w:hAnsi="Times New Roman"/>
                <w:sz w:val="18"/>
              </w:rPr>
              <w:t>&lt; 0.001</w:t>
            </w:r>
          </w:p>
        </w:tc>
        <w:tc>
          <w:tcPr>
            <w:tcW w:type="dxa" w:w="1206"/>
          </w:tcPr>
          <w:p>
            <w:pPr>
              <w:spacing w:line="240" w:lineRule="auto" w:after="40"/>
            </w:pPr>
            <w:r>
              <w:rPr>
                <w:rFonts w:ascii="Times New Roman" w:hAnsi="Times New Roman"/>
                <w:sz w:val="18"/>
              </w:rPr>
              <w:t>0.498</w:t>
            </w:r>
          </w:p>
        </w:tc>
        <w:tc>
          <w:tcPr>
            <w:tcW w:type="dxa" w:w="1206"/>
          </w:tcPr>
          <w:p>
            <w:pPr>
              <w:spacing w:line="240" w:lineRule="auto" w:after="40"/>
            </w:pPr>
            <w:r>
              <w:rPr>
                <w:rFonts w:ascii="Times New Roman" w:hAnsi="Times New Roman"/>
                <w:sz w:val="18"/>
              </w:rPr>
              <w:t>-451</w:t>
            </w:r>
          </w:p>
        </w:tc>
      </w:tr>
      <w:tr>
        <w:tc>
          <w:tcPr>
            <w:tcW w:type="dxa" w:w="1206"/>
          </w:tcPr>
          <w:p>
            <w:pPr>
              <w:spacing w:line="240" w:lineRule="auto" w:after="40"/>
            </w:pPr>
            <w:r>
              <w:rPr>
                <w:rFonts w:ascii="Times New Roman" w:hAnsi="Times New Roman"/>
                <w:sz w:val="18"/>
              </w:rPr>
              <w:t>T2</w:t>
            </w:r>
          </w:p>
        </w:tc>
        <w:tc>
          <w:tcPr>
            <w:tcW w:type="dxa" w:w="1206"/>
          </w:tcPr>
          <w:p>
            <w:pPr>
              <w:spacing w:line="240" w:lineRule="auto" w:after="40"/>
            </w:pPr>
            <w:r>
              <w:rPr>
                <w:rFonts w:ascii="Times New Roman" w:hAnsi="Times New Roman"/>
                <w:sz w:val="18"/>
              </w:rPr>
              <w:t>All prefectures</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-0.022</w:t>
            </w:r>
          </w:p>
        </w:tc>
        <w:tc>
          <w:tcPr>
            <w:tcW w:type="dxa" w:w="1206"/>
          </w:tcPr>
          <w:p>
            <w:pPr>
              <w:spacing w:line="240" w:lineRule="auto" w:after="40"/>
            </w:pPr>
            <w:r>
              <w:rPr>
                <w:rFonts w:ascii="Times New Roman" w:hAnsi="Times New Roman"/>
                <w:sz w:val="18"/>
              </w:rPr>
              <w:t>0.581</w:t>
            </w:r>
          </w:p>
        </w:tc>
        <w:tc>
          <w:tcPr>
            <w:tcW w:type="dxa" w:w="1206"/>
          </w:tcPr>
          <w:p>
            <w:pPr>
              <w:spacing w:line="240" w:lineRule="auto" w:after="40"/>
            </w:pPr>
            <w:r>
              <w:rPr>
                <w:rFonts w:ascii="Times New Roman" w:hAnsi="Times New Roman"/>
                <w:sz w:val="18"/>
              </w:rPr>
              <w:t>0.829</w:t>
            </w:r>
          </w:p>
        </w:tc>
        <w:tc>
          <w:tcPr>
            <w:tcW w:type="dxa" w:w="1206"/>
          </w:tcPr>
          <w:p>
            <w:pPr>
              <w:spacing w:line="240" w:lineRule="auto" w:after="40"/>
            </w:pPr>
            <w:r>
              <w:rPr>
                <w:rFonts w:ascii="Times New Roman" w:hAnsi="Times New Roman"/>
                <w:sz w:val="18"/>
              </w:rPr>
              <w:t>-93</w:t>
            </w:r>
          </w:p>
        </w:tc>
      </w:tr>
      <w:tr>
        <w:tc>
          <w:tcPr>
            <w:tcW w:type="dxa" w:w="1206"/>
          </w:tcPr>
          <w:p>
            <w:pPr>
              <w:spacing w:line="240" w:lineRule="auto" w:after="40"/>
            </w:pPr>
            <w:r>
              <w:rPr>
                <w:rFonts w:ascii="Times New Roman" w:hAnsi="Times New Roman"/>
                <w:sz w:val="18"/>
              </w:rPr>
              <w:t>T2</w:t>
            </w:r>
          </w:p>
        </w:tc>
        <w:tc>
          <w:tcPr>
            <w:tcW w:type="dxa" w:w="1206"/>
          </w:tcPr>
          <w:p>
            <w:pPr>
              <w:spacing w:line="240" w:lineRule="auto" w:after="40"/>
            </w:pPr>
            <w:r>
              <w:rPr>
                <w:rFonts w:ascii="Times New Roman" w:hAnsi="Times New Roman"/>
                <w:sz w:val="18"/>
              </w:rPr>
              <w:t>Fukushima only</w:t>
            </w:r>
          </w:p>
        </w:tc>
        <w:tc>
          <w:tcPr>
            <w:tcW w:type="dxa" w:w="1206"/>
          </w:tcPr>
          <w:p>
            <w:pPr>
              <w:spacing w:line="240" w:lineRule="auto" w:after="40"/>
            </w:pPr>
            <w:r>
              <w:rPr>
                <w:rFonts w:ascii="Times New Roman" w:hAnsi="Times New Roman"/>
                <w:sz w:val="18"/>
              </w:rPr>
              <w:t>Unweighted</w:t>
            </w:r>
          </w:p>
        </w:tc>
        <w:tc>
          <w:tcPr>
            <w:tcW w:type="dxa" w:w="1206"/>
          </w:tcPr>
          <w:p>
            <w:pPr>
              <w:spacing w:line="240" w:lineRule="auto" w:after="40"/>
            </w:pPr>
            <w:r>
              <w:rPr>
                <w:rFonts w:ascii="Times New Roman" w:hAnsi="Times New Roman"/>
                <w:sz w:val="18"/>
              </w:rPr>
              <w:t>No</w:t>
            </w:r>
          </w:p>
        </w:tc>
        <w:tc>
          <w:tcPr>
            <w:tcW w:type="dxa" w:w="1206"/>
          </w:tcPr>
          <w:p>
            <w:pPr>
              <w:spacing w:line="240" w:lineRule="auto" w:after="40"/>
            </w:pPr>
            <w:r>
              <w:rPr>
                <w:rFonts w:ascii="Times New Roman" w:hAnsi="Times New Roman"/>
                <w:sz w:val="18"/>
              </w:rPr>
              <w:t>-0.034</w:t>
            </w:r>
          </w:p>
        </w:tc>
        <w:tc>
          <w:tcPr>
            <w:tcW w:type="dxa" w:w="1206"/>
          </w:tcPr>
          <w:p>
            <w:pPr>
              <w:spacing w:line="240" w:lineRule="auto" w:after="40"/>
            </w:pPr>
            <w:r>
              <w:rPr>
                <w:rFonts w:ascii="Times New Roman" w:hAnsi="Times New Roman"/>
                <w:sz w:val="18"/>
              </w:rPr>
              <w:t>0.421</w:t>
            </w:r>
          </w:p>
        </w:tc>
        <w:tc>
          <w:tcPr>
            <w:tcW w:type="dxa" w:w="1206"/>
          </w:tcPr>
          <w:p>
            <w:pPr>
              <w:spacing w:line="240" w:lineRule="auto" w:after="40"/>
            </w:pPr>
            <w:r>
              <w:rPr>
                <w:rFonts w:ascii="Times New Roman" w:hAnsi="Times New Roman"/>
                <w:sz w:val="18"/>
              </w:rPr>
              <w:t>0.932</w:t>
            </w:r>
          </w:p>
        </w:tc>
        <w:tc>
          <w:tcPr>
            <w:tcW w:type="dxa" w:w="1206"/>
          </w:tcPr>
          <w:p>
            <w:pPr>
              <w:spacing w:line="240" w:lineRule="auto" w:after="40"/>
            </w:pPr>
            <w:r>
              <w:rPr>
                <w:rFonts w:ascii="Times New Roman" w:hAnsi="Times New Roman"/>
                <w:sz w:val="18"/>
              </w:rPr>
              <w:t>-146</w:t>
            </w:r>
          </w:p>
        </w:tc>
      </w:tr>
    </w:tbl>
    <w:p>
      <w:r>
        <w:drawing>
          <wp:inline xmlns:a="http://schemas.openxmlformats.org/drawingml/2006/main" xmlns:pic="http://schemas.openxmlformats.org/drawingml/2006/picture">
            <wp:extent cx="5852160" cy="251629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852160" cy="2516292"/>
                    </a:xfrm>
                    <a:prstGeom prst="rect"/>
                  </pic:spPr>
                </pic:pic>
              </a:graphicData>
            </a:graphic>
          </wp:inline>
        </w:drawing>
      </w:r>
    </w:p>
    <w:p>
      <w:pPr>
        <w:pStyle w:val="Caption"/>
        <w:spacing w:before="240"/>
        <w:jc w:val="center"/>
      </w:pPr>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drawing>
          <wp:inline xmlns:a="http://schemas.openxmlformats.org/drawingml/2006/main" xmlns:pic="http://schemas.openxmlformats.org/drawingml/2006/picture">
            <wp:extent cx="5852160" cy="3807764"/>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852160" cy="3807764"/>
                    </a:xfrm>
                    <a:prstGeom prst="rect"/>
                  </pic:spPr>
                </pic:pic>
              </a:graphicData>
            </a:graphic>
          </wp:inline>
        </w:drawing>
      </w:r>
    </w:p>
    <w:p>
      <w:pPr>
        <w:pStyle w:val="Caption"/>
        <w:spacing w:before="240"/>
        <w:jc w:val="center"/>
      </w:pPr>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Caption"/>
        <w:spacing w:before="240"/>
        <w:jc w:val="center"/>
      </w:pPr>
      <w:r>
        <w:t>Table 3. Fukushima measured mortality quantities and published radiological-risk projections. Rows differ in population, geography, time horizon, measurement, and model basis and must not be added or interpreted as commensurate estimands.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930"/>
        <w:gridCol w:w="1930"/>
        <w:gridCol w:w="1930"/>
        <w:gridCol w:w="1930"/>
        <w:gridCol w:w="1930"/>
      </w:tblGrid>
      <w:tr>
        <w:tc>
          <w:tcPr>
            <w:tcW w:type="dxa" w:w="1930"/>
            <w:tcBorders>
              <w:bottom w:val="single" w:sz="8"/>
            </w:tcBorders>
          </w:tcPr>
          <w:p>
            <w:pPr>
              <w:spacing w:line="240" w:lineRule="auto" w:after="40"/>
            </w:pPr>
            <w:r>
              <w:rPr>
                <w:rFonts w:ascii="Times New Roman" w:hAnsi="Times New Roman"/>
                <w:sz w:val="18"/>
              </w:rPr>
              <w:t>Quantity</w:t>
            </w:r>
          </w:p>
        </w:tc>
        <w:tc>
          <w:tcPr>
            <w:tcW w:type="dxa" w:w="1930"/>
            <w:tcBorders>
              <w:bottom w:val="single" w:sz="8"/>
            </w:tcBorders>
          </w:tcPr>
          <w:p>
            <w:pPr>
              <w:spacing w:line="240" w:lineRule="auto" w:after="40"/>
            </w:pPr>
            <w:r>
              <w:rPr>
                <w:rFonts w:ascii="Times New Roman" w:hAnsi="Times New Roman"/>
                <w:sz w:val="18"/>
              </w:rPr>
              <w:t>Value</w:t>
            </w:r>
          </w:p>
        </w:tc>
        <w:tc>
          <w:tcPr>
            <w:tcW w:type="dxa" w:w="1930"/>
            <w:tcBorders>
              <w:bottom w:val="single" w:sz="8"/>
            </w:tcBorders>
          </w:tcPr>
          <w:p>
            <w:pPr>
              <w:spacing w:line="240" w:lineRule="auto" w:after="40"/>
            </w:pPr>
            <w:r>
              <w:rPr>
                <w:rFonts w:ascii="Times New Roman" w:hAnsi="Times New Roman"/>
                <w:sz w:val="18"/>
              </w:rPr>
              <w:t>Scope</w:t>
            </w:r>
          </w:p>
        </w:tc>
        <w:tc>
          <w:tcPr>
            <w:tcW w:type="dxa" w:w="1930"/>
            <w:tcBorders>
              <w:bottom w:val="single" w:sz="8"/>
            </w:tcBorders>
          </w:tcPr>
          <w:p>
            <w:pPr>
              <w:spacing w:line="240" w:lineRule="auto" w:after="40"/>
            </w:pPr>
            <w:r>
              <w:rPr>
                <w:rFonts w:ascii="Times New Roman" w:hAnsi="Times New Roman"/>
                <w:sz w:val="18"/>
              </w:rPr>
              <w:t>Type</w:t>
            </w:r>
          </w:p>
        </w:tc>
        <w:tc>
          <w:tcPr>
            <w:tcW w:type="dxa" w:w="1930"/>
            <w:tcBorders>
              <w:bottom w:val="single" w:sz="8"/>
            </w:tcBorders>
          </w:tcPr>
          <w:p>
            <w:pPr>
              <w:spacing w:line="240" w:lineRule="auto" w:after="40"/>
            </w:pPr>
            <w:r>
              <w:rPr>
                <w:rFonts w:ascii="Times New Roman" w:hAnsi="Times New Roman"/>
                <w:sz w:val="18"/>
              </w:rPr>
              <w:t>Source</w:t>
            </w:r>
          </w:p>
        </w:tc>
      </w:tr>
      <w:tr>
        <w:tc>
          <w:tcPr>
            <w:tcW w:type="dxa" w:w="1930"/>
          </w:tcPr>
          <w:p>
            <w:pPr>
              <w:spacing w:line="240" w:lineRule="auto" w:after="40"/>
            </w:pPr>
            <w:r>
              <w:rPr>
                <w:rFonts w:ascii="Times New Roman" w:hAnsi="Times New Roman"/>
                <w:sz w:val="18"/>
              </w:rPr>
              <w:t>T1 observed deaths 2011</w:t>
            </w:r>
          </w:p>
        </w:tc>
        <w:tc>
          <w:tcPr>
            <w:tcW w:type="dxa" w:w="1930"/>
          </w:tcPr>
          <w:p>
            <w:pPr>
              <w:spacing w:line="240" w:lineRule="auto" w:after="40"/>
            </w:pPr>
            <w:r>
              <w:rPr>
                <w:rFonts w:ascii="Times New Roman" w:hAnsi="Times New Roman"/>
                <w:sz w:val="18"/>
              </w:rPr>
              <w:t>2,996</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expected deaths 2011</w:t>
            </w:r>
          </w:p>
        </w:tc>
        <w:tc>
          <w:tcPr>
            <w:tcW w:type="dxa" w:w="1930"/>
          </w:tcPr>
          <w:p>
            <w:pPr>
              <w:spacing w:line="240" w:lineRule="auto" w:after="40"/>
            </w:pPr>
            <w:r>
              <w:rPr>
                <w:rFonts w:ascii="Times New Roman" w:hAnsi="Times New Roman"/>
                <w:sz w:val="18"/>
              </w:rPr>
              <w:t>2,060</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excess deaths 2011</w:t>
            </w:r>
          </w:p>
        </w:tc>
        <w:tc>
          <w:tcPr>
            <w:tcW w:type="dxa" w:w="1930"/>
          </w:tcPr>
          <w:p>
            <w:pPr>
              <w:spacing w:line="240" w:lineRule="auto" w:after="40"/>
            </w:pPr>
            <w:r>
              <w:rPr>
                <w:rFonts w:ascii="Times New Roman" w:hAnsi="Times New Roman"/>
                <w:sz w:val="18"/>
              </w:rPr>
              <w:t>936</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Of which direct disaster deaths</w:t>
            </w:r>
          </w:p>
        </w:tc>
        <w:tc>
          <w:tcPr>
            <w:tcW w:type="dxa" w:w="1930"/>
          </w:tcPr>
          <w:p>
            <w:pPr>
              <w:spacing w:line="240" w:lineRule="auto" w:after="40"/>
            </w:pPr>
            <w:r>
              <w:rPr>
                <w:rFonts w:ascii="Times New Roman" w:hAnsi="Times New Roman"/>
                <w:sz w:val="18"/>
              </w:rPr>
              <w:t>732</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Fukushima Prefecture, 2014</w:t>
            </w:r>
          </w:p>
        </w:tc>
      </w:tr>
      <w:tr>
        <w:tc>
          <w:tcPr>
            <w:tcW w:type="dxa" w:w="1930"/>
          </w:tcPr>
          <w:p>
            <w:pPr>
              <w:spacing w:line="240" w:lineRule="auto" w:after="40"/>
            </w:pPr>
            <w:r>
              <w:rPr>
                <w:rFonts w:ascii="Times New Roman" w:hAnsi="Times New Roman"/>
                <w:sz w:val="18"/>
              </w:rPr>
              <w:t>T1 residual excess deaths 2011</w:t>
            </w:r>
          </w:p>
        </w:tc>
        <w:tc>
          <w:tcPr>
            <w:tcW w:type="dxa" w:w="1930"/>
          </w:tcPr>
          <w:p>
            <w:pPr>
              <w:spacing w:line="240" w:lineRule="auto" w:after="40"/>
            </w:pPr>
            <w:r>
              <w:rPr>
                <w:rFonts w:ascii="Times New Roman" w:hAnsi="Times New Roman"/>
                <w:sz w:val="18"/>
              </w:rPr>
              <w:t>204</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T1 implied difference 2012-2019 (recorded)</w:t>
            </w:r>
          </w:p>
        </w:tc>
        <w:tc>
          <w:tcPr>
            <w:tcW w:type="dxa" w:w="1930"/>
          </w:tcPr>
          <w:p>
            <w:pPr>
              <w:spacing w:line="240" w:lineRule="auto" w:after="40"/>
            </w:pPr>
            <w:r>
              <w:rPr>
                <w:rFonts w:ascii="Times New Roman" w:hAnsi="Times New Roman"/>
                <w:sz w:val="18"/>
              </w:rPr>
              <w:t>-1,322</w:t>
            </w:r>
          </w:p>
        </w:tc>
        <w:tc>
          <w:tcPr>
            <w:tcW w:type="dxa" w:w="1930"/>
          </w:tcPr>
          <w:p>
            <w:pPr>
              <w:spacing w:line="240" w:lineRule="auto" w:after="40"/>
            </w:pPr>
            <w:r>
              <w:rPr>
                <w:rFonts w:ascii="Times New Roman" w:hAnsi="Times New Roman"/>
                <w:sz w:val="18"/>
              </w:rPr>
              <w:t>T1 municipalities</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This study</w:t>
            </w:r>
          </w:p>
        </w:tc>
      </w:tr>
      <w:tr>
        <w:tc>
          <w:tcPr>
            <w:tcW w:type="dxa" w:w="1930"/>
          </w:tcPr>
          <w:p>
            <w:pPr>
              <w:spacing w:line="240" w:lineRule="auto" w:after="40"/>
            </w:pPr>
            <w:r>
              <w:rPr>
                <w:rFonts w:ascii="Times New Roman" w:hAnsi="Times New Roman"/>
                <w:sz w:val="18"/>
              </w:rPr>
              <w:t>Certified disaster-related deaths, Fukushima Prefecture</w:t>
            </w:r>
          </w:p>
        </w:tc>
        <w:tc>
          <w:tcPr>
            <w:tcW w:type="dxa" w:w="1930"/>
          </w:tcPr>
          <w:p>
            <w:pPr>
              <w:spacing w:line="240" w:lineRule="auto" w:after="40"/>
            </w:pPr>
            <w:r>
              <w:rPr>
                <w:rFonts w:ascii="Times New Roman" w:hAnsi="Times New Roman"/>
                <w:sz w:val="18"/>
              </w:rPr>
              <w:t>2,350</w:t>
            </w:r>
          </w:p>
        </w:tc>
        <w:tc>
          <w:tcPr>
            <w:tcW w:type="dxa" w:w="1930"/>
          </w:tcPr>
          <w:p>
            <w:pPr>
              <w:spacing w:line="240" w:lineRule="auto" w:after="40"/>
            </w:pPr>
            <w:r>
              <w:rPr>
                <w:rFonts w:ascii="Times New Roman" w:hAnsi="Times New Roman"/>
                <w:sz w:val="18"/>
              </w:rPr>
              <w:t>Fukushima prefecture</w:t>
            </w:r>
          </w:p>
        </w:tc>
        <w:tc>
          <w:tcPr>
            <w:tcW w:type="dxa" w:w="1930"/>
          </w:tcPr>
          <w:p>
            <w:pPr>
              <w:spacing w:line="240" w:lineRule="auto" w:after="40"/>
            </w:pPr>
            <w:r>
              <w:rPr>
                <w:rFonts w:ascii="Times New Roman" w:hAnsi="Times New Roman"/>
                <w:sz w:val="18"/>
              </w:rPr>
              <w:t>Measured</w:t>
            </w:r>
          </w:p>
        </w:tc>
        <w:tc>
          <w:tcPr>
            <w:tcW w:type="dxa" w:w="1930"/>
          </w:tcPr>
          <w:p>
            <w:pPr>
              <w:spacing w:line="240" w:lineRule="auto" w:after="40"/>
            </w:pPr>
            <w:r>
              <w:rPr>
                <w:rFonts w:ascii="Times New Roman" w:hAnsi="Times New Roman"/>
                <w:sz w:val="18"/>
              </w:rPr>
              <w:t>Reconstruction Agency, 2026</w:t>
            </w:r>
          </w:p>
        </w:tc>
      </w:tr>
      <w:tr>
        <w:tc>
          <w:tcPr>
            <w:tcW w:type="dxa" w:w="1930"/>
          </w:tcPr>
          <w:p>
            <w:pPr>
              <w:spacing w:line="240" w:lineRule="auto" w:after="40"/>
            </w:pPr>
            <w:r>
              <w:rPr>
                <w:rFonts w:ascii="Times New Roman" w:hAnsi="Times New Roman"/>
                <w:sz w:val="18"/>
              </w:rPr>
              <w:t>Projected worldwide cancer deaths from the release</w:t>
            </w:r>
          </w:p>
        </w:tc>
        <w:tc>
          <w:tcPr>
            <w:tcW w:type="dxa" w:w="1930"/>
          </w:tcPr>
          <w:p>
            <w:pPr>
              <w:spacing w:line="240" w:lineRule="auto" w:after="40"/>
            </w:pPr>
            <w:r>
              <w:rPr>
                <w:rFonts w:ascii="Times New Roman" w:hAnsi="Times New Roman"/>
                <w:sz w:val="18"/>
              </w:rPr>
              <w:t>130 (15-1,100)</w:t>
            </w:r>
          </w:p>
        </w:tc>
        <w:tc>
          <w:tcPr>
            <w:tcW w:type="dxa" w:w="1930"/>
          </w:tcPr>
          <w:p>
            <w:pPr>
              <w:spacing w:line="240" w:lineRule="auto" w:after="40"/>
            </w:pPr>
            <w:r>
              <w:rPr>
                <w:rFonts w:ascii="Times New Roman" w:hAnsi="Times New Roman"/>
                <w:sz w:val="18"/>
              </w:rPr>
              <w:t>Worldwide</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ten Hoeve &amp; Jacobson, 2012</w:t>
            </w:r>
          </w:p>
        </w:tc>
      </w:tr>
      <w:tr>
        <w:tc>
          <w:tcPr>
            <w:tcW w:type="dxa" w:w="1930"/>
          </w:tcPr>
          <w:p>
            <w:pPr>
              <w:spacing w:line="240" w:lineRule="auto" w:after="40"/>
            </w:pPr>
            <w:r>
              <w:rPr>
                <w:rFonts w:ascii="Times New Roman" w:hAnsi="Times New Roman"/>
                <w:sz w:val="18"/>
              </w:rPr>
              <w:t>Evacuation-avoided radiological mortalities</w:t>
            </w:r>
          </w:p>
        </w:tc>
        <w:tc>
          <w:tcPr>
            <w:tcW w:type="dxa" w:w="1930"/>
          </w:tcPr>
          <w:p>
            <w:pPr>
              <w:spacing w:line="240" w:lineRule="auto" w:after="40"/>
            </w:pPr>
            <w:r>
              <w:rPr>
                <w:rFonts w:ascii="Times New Roman" w:hAnsi="Times New Roman"/>
                <w:sz w:val="18"/>
              </w:rPr>
              <w:t>28 (3-245)</w:t>
            </w:r>
          </w:p>
        </w:tc>
        <w:tc>
          <w:tcPr>
            <w:tcW w:type="dxa" w:w="1930"/>
          </w:tcPr>
          <w:p>
            <w:pPr>
              <w:spacing w:line="240" w:lineRule="auto" w:after="40"/>
            </w:pPr>
            <w:r>
              <w:rPr>
                <w:rFonts w:ascii="Times New Roman" w:hAnsi="Times New Roman"/>
                <w:sz w:val="18"/>
              </w:rPr>
              <w:t>Worldwide</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ten Hoeve &amp; Jacobson, 2012</w:t>
            </w:r>
          </w:p>
        </w:tc>
      </w:tr>
      <w:tr>
        <w:tc>
          <w:tcPr>
            <w:tcW w:type="dxa" w:w="1930"/>
          </w:tcPr>
          <w:p>
            <w:pPr>
              <w:spacing w:line="240" w:lineRule="auto" w:after="40"/>
            </w:pPr>
            <w:r>
              <w:rPr>
                <w:rFonts w:ascii="Times New Roman" w:hAnsi="Times New Roman"/>
                <w:sz w:val="18"/>
              </w:rPr>
              <w:t>Lifetime-risk relative increases in the most affected areas</w:t>
            </w:r>
          </w:p>
        </w:tc>
        <w:tc>
          <w:tcPr>
            <w:tcW w:type="dxa" w:w="1930"/>
          </w:tcPr>
          <w:p>
            <w:pPr>
              <w:spacing w:line="240" w:lineRule="auto" w:after="40"/>
            </w:pPr>
            <w:r>
              <w:rPr>
                <w:rFonts w:ascii="Times New Roman" w:hAnsi="Times New Roman"/>
                <w:sz w:val="18"/>
              </w:rPr>
              <w:t>leukaemia up to 7%; breast up to 6%; all solid cancers up to 4%; thyroid up to 70%</w:t>
            </w:r>
          </w:p>
        </w:tc>
        <w:tc>
          <w:tcPr>
            <w:tcW w:type="dxa" w:w="1930"/>
          </w:tcPr>
          <w:p>
            <w:pPr>
              <w:spacing w:line="240" w:lineRule="auto" w:after="40"/>
            </w:pPr>
            <w:r>
              <w:rPr>
                <w:rFonts w:ascii="Times New Roman" w:hAnsi="Times New Roman"/>
                <w:sz w:val="18"/>
              </w:rPr>
              <w:t>Most affected areas</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WHO, 2013</w:t>
            </w:r>
          </w:p>
        </w:tc>
      </w:tr>
      <w:tr>
        <w:tc>
          <w:tcPr>
            <w:tcW w:type="dxa" w:w="1930"/>
          </w:tcPr>
          <w:p>
            <w:pPr>
              <w:spacing w:line="240" w:lineRule="auto" w:after="40"/>
            </w:pPr>
            <w:r>
              <w:rPr>
                <w:rFonts w:ascii="Times New Roman" w:hAnsi="Times New Roman"/>
                <w:sz w:val="18"/>
              </w:rPr>
              <w:t>WHO conclusion outside Japan</w:t>
            </w:r>
          </w:p>
        </w:tc>
        <w:tc>
          <w:tcPr>
            <w:tcW w:type="dxa" w:w="1930"/>
          </w:tcPr>
          <w:p>
            <w:pPr>
              <w:spacing w:line="240" w:lineRule="auto" w:after="40"/>
            </w:pPr>
            <w:r>
              <w:rPr>
                <w:rFonts w:ascii="Times New Roman" w:hAnsi="Times New Roman"/>
                <w:sz w:val="18"/>
              </w:rPr>
              <w:t>no discernible increase</w:t>
            </w:r>
          </w:p>
        </w:tc>
        <w:tc>
          <w:tcPr>
            <w:tcW w:type="dxa" w:w="1930"/>
          </w:tcPr>
          <w:p>
            <w:pPr>
              <w:spacing w:line="240" w:lineRule="auto" w:after="40"/>
            </w:pPr>
            <w:r>
              <w:rPr>
                <w:rFonts w:ascii="Times New Roman" w:hAnsi="Times New Roman"/>
                <w:sz w:val="18"/>
              </w:rPr>
              <w:t>Outside Japan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WHO, 2013</w:t>
            </w:r>
          </w:p>
        </w:tc>
      </w:tr>
      <w:tr>
        <w:tc>
          <w:tcPr>
            <w:tcW w:type="dxa" w:w="1930"/>
          </w:tcPr>
          <w:p>
            <w:pPr>
              <w:spacing w:line="240" w:lineRule="auto" w:after="40"/>
            </w:pPr>
            <w:r>
              <w:rPr>
                <w:rFonts w:ascii="Times New Roman" w:hAnsi="Times New Roman"/>
                <w:sz w:val="18"/>
              </w:rPr>
              <w:t>Collective effective dose</w:t>
            </w:r>
          </w:p>
        </w:tc>
        <w:tc>
          <w:tcPr>
            <w:tcW w:type="dxa" w:w="1930"/>
          </w:tcPr>
          <w:p>
            <w:pPr>
              <w:spacing w:line="240" w:lineRule="auto" w:after="40"/>
            </w:pPr>
            <w:r>
              <w:rPr>
                <w:rFonts w:ascii="Times New Roman" w:hAnsi="Times New Roman"/>
                <w:sz w:val="18"/>
              </w:rPr>
              <w:t>18 / 36 / 48 thousand man-Sv (first year / ten years / lifetime)</w:t>
            </w:r>
          </w:p>
        </w:tc>
        <w:tc>
          <w:tcPr>
            <w:tcW w:type="dxa" w:w="1930"/>
          </w:tcPr>
          <w:p>
            <w:pPr>
              <w:spacing w:line="240" w:lineRule="auto" w:after="40"/>
            </w:pPr>
            <w:r>
              <w:rPr>
                <w:rFonts w:ascii="Times New Roman" w:hAnsi="Times New Roman"/>
                <w:sz w:val="18"/>
              </w:rPr>
              <w:t>Japanese population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UNSCEAR, 2014</w:t>
            </w:r>
          </w:p>
        </w:tc>
      </w:tr>
      <w:tr>
        <w:tc>
          <w:tcPr>
            <w:tcW w:type="dxa" w:w="1930"/>
          </w:tcPr>
          <w:p>
            <w:pPr>
              <w:spacing w:line="240" w:lineRule="auto" w:after="40"/>
            </w:pPr>
            <w:r>
              <w:rPr>
                <w:rFonts w:ascii="Times New Roman" w:hAnsi="Times New Roman"/>
                <w:sz w:val="18"/>
              </w:rPr>
              <w:t>UNSCEAR conclusion</w:t>
            </w:r>
          </w:p>
        </w:tc>
        <w:tc>
          <w:tcPr>
            <w:tcW w:type="dxa" w:w="1930"/>
          </w:tcPr>
          <w:p>
            <w:pPr>
              <w:spacing w:line="240" w:lineRule="auto" w:after="40"/>
            </w:pPr>
            <w:r>
              <w:rPr>
                <w:rFonts w:ascii="Times New Roman" w:hAnsi="Times New Roman"/>
                <w:sz w:val="18"/>
              </w:rPr>
              <w:t>no discernible increase expected</w:t>
            </w:r>
          </w:p>
        </w:tc>
        <w:tc>
          <w:tcPr>
            <w:tcW w:type="dxa" w:w="1930"/>
          </w:tcPr>
          <w:p>
            <w:pPr>
              <w:spacing w:line="240" w:lineRule="auto" w:after="40"/>
            </w:pPr>
            <w:r>
              <w:rPr>
                <w:rFonts w:ascii="Times New Roman" w:hAnsi="Times New Roman"/>
                <w:sz w:val="18"/>
              </w:rPr>
              <w:t>Exposed population</w:t>
            </w:r>
          </w:p>
        </w:tc>
        <w:tc>
          <w:tcPr>
            <w:tcW w:type="dxa" w:w="1930"/>
          </w:tcPr>
          <w:p>
            <w:pPr>
              <w:spacing w:line="240" w:lineRule="auto" w:after="40"/>
            </w:pPr>
            <w:r>
              <w:rPr>
                <w:rFonts w:ascii="Times New Roman" w:hAnsi="Times New Roman"/>
                <w:sz w:val="18"/>
              </w:rPr>
              <w:t>Projected (LNT-based)</w:t>
            </w:r>
          </w:p>
        </w:tc>
        <w:tc>
          <w:tcPr>
            <w:tcW w:type="dxa" w:w="1930"/>
          </w:tcPr>
          <w:p>
            <w:pPr>
              <w:spacing w:line="240" w:lineRule="auto" w:after="40"/>
            </w:pPr>
            <w:r>
              <w:rPr>
                <w:rFonts w:ascii="Times New Roman" w:hAnsi="Times New Roman"/>
                <w:sz w:val="18"/>
              </w:rPr>
              <w:t>UNSCEAR, 2014</w:t>
            </w:r>
          </w:p>
        </w:tc>
      </w:tr>
    </w:tbl>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drawing>
          <wp:inline xmlns:a="http://schemas.openxmlformats.org/drawingml/2006/main" xmlns:pic="http://schemas.openxmlformats.org/drawingml/2006/picture">
            <wp:extent cx="5852160" cy="2417894"/>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852160" cy="2417894"/>
                    </a:xfrm>
                    <a:prstGeom prst="rect"/>
                  </pic:spPr>
                </pic:pic>
              </a:graphicData>
            </a:graphic>
          </wp:inline>
        </w:drawing>
      </w:r>
    </w:p>
    <w:p>
      <w:pPr>
        <w:pStyle w:val="Caption"/>
        <w:spacing w:before="240"/>
        <w:jc w:val="center"/>
      </w:pPr>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Caption"/>
        <w:spacing w:before="240"/>
        <w:jc w:val="center"/>
      </w:pPr>
      <w:r>
        <w:t>Table 4. Kansas synthetic-control estimates by outcome and donor pool. Mean gaps cover 2013-2017. Permutation p values compare Kansas with donor-state placebo gaps; LOO denotes leave-one-donor-out sensitivity.</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072"/>
        <w:gridCol w:w="1072"/>
        <w:gridCol w:w="1072"/>
        <w:gridCol w:w="1072"/>
        <w:gridCol w:w="1072"/>
        <w:gridCol w:w="1072"/>
        <w:gridCol w:w="1072"/>
        <w:gridCol w:w="1072"/>
        <w:gridCol w:w="1072"/>
      </w:tblGrid>
      <w:tr>
        <w:tc>
          <w:tcPr>
            <w:tcW w:type="dxa" w:w="1072"/>
            <w:tcBorders>
              <w:bottom w:val="single" w:sz="8"/>
            </w:tcBorders>
          </w:tcPr>
          <w:p>
            <w:pPr>
              <w:spacing w:line="240" w:lineRule="auto" w:after="40"/>
            </w:pPr>
            <w:r>
              <w:rPr>
                <w:rFonts w:ascii="Times New Roman" w:hAnsi="Times New Roman"/>
                <w:sz w:val="18"/>
              </w:rPr>
              <w:t>Outcome</w:t>
            </w:r>
          </w:p>
        </w:tc>
        <w:tc>
          <w:tcPr>
            <w:tcW w:type="dxa" w:w="1072"/>
            <w:tcBorders>
              <w:bottom w:val="single" w:sz="8"/>
            </w:tcBorders>
          </w:tcPr>
          <w:p>
            <w:pPr>
              <w:spacing w:line="240" w:lineRule="auto" w:after="40"/>
            </w:pPr>
            <w:r>
              <w:rPr>
                <w:rFonts w:ascii="Times New Roman" w:hAnsi="Times New Roman"/>
                <w:sz w:val="18"/>
              </w:rPr>
              <w:t>Pool</w:t>
            </w:r>
          </w:p>
        </w:tc>
        <w:tc>
          <w:tcPr>
            <w:tcW w:type="dxa" w:w="1072"/>
            <w:tcBorders>
              <w:bottom w:val="single" w:sz="8"/>
            </w:tcBorders>
          </w:tcPr>
          <w:p>
            <w:pPr>
              <w:spacing w:line="240" w:lineRule="auto" w:after="40"/>
            </w:pPr>
            <w:r>
              <w:rPr>
                <w:rFonts w:ascii="Times New Roman" w:hAnsi="Times New Roman"/>
                <w:sz w:val="18"/>
              </w:rPr>
              <w:t>Mean gap</w:t>
            </w:r>
          </w:p>
        </w:tc>
        <w:tc>
          <w:tcPr>
            <w:tcW w:type="dxa" w:w="1072"/>
            <w:tcBorders>
              <w:bottom w:val="single" w:sz="8"/>
            </w:tcBorders>
          </w:tcPr>
          <w:p>
            <w:pPr>
              <w:spacing w:line="240" w:lineRule="auto" w:after="40"/>
            </w:pPr>
            <w:r>
              <w:rPr>
                <w:rFonts w:ascii="Times New Roman" w:hAnsi="Times New Roman"/>
                <w:sz w:val="18"/>
              </w:rPr>
              <w:t>Gap (%)</w:t>
            </w:r>
          </w:p>
        </w:tc>
        <w:tc>
          <w:tcPr>
            <w:tcW w:type="dxa" w:w="1072"/>
            <w:tcBorders>
              <w:bottom w:val="single" w:sz="8"/>
            </w:tcBorders>
          </w:tcPr>
          <w:p>
            <w:pPr>
              <w:spacing w:line="240" w:lineRule="auto" w:after="40"/>
            </w:pPr>
            <w:r>
              <w:rPr>
                <w:rFonts w:ascii="Times New Roman" w:hAnsi="Times New Roman"/>
                <w:sz w:val="18"/>
              </w:rPr>
              <w:t>Permutation p</w:t>
            </w:r>
          </w:p>
        </w:tc>
        <w:tc>
          <w:tcPr>
            <w:tcW w:type="dxa" w:w="1072"/>
            <w:tcBorders>
              <w:bottom w:val="single" w:sz="8"/>
            </w:tcBorders>
          </w:tcPr>
          <w:p>
            <w:pPr>
              <w:spacing w:line="240" w:lineRule="auto" w:after="40"/>
            </w:pPr>
            <w:r>
              <w:rPr>
                <w:rFonts w:ascii="Times New Roman" w:hAnsi="Times New Roman"/>
                <w:sz w:val="18"/>
              </w:rPr>
              <w:t>Pre-RMSPE</w:t>
            </w:r>
          </w:p>
        </w:tc>
        <w:tc>
          <w:tcPr>
            <w:tcW w:type="dxa" w:w="1072"/>
            <w:tcBorders>
              <w:bottom w:val="single" w:sz="8"/>
            </w:tcBorders>
          </w:tcPr>
          <w:p>
            <w:pPr>
              <w:spacing w:line="240" w:lineRule="auto" w:after="40"/>
            </w:pPr>
            <w:r>
              <w:rPr>
                <w:rFonts w:ascii="Times New Roman" w:hAnsi="Times New Roman"/>
                <w:sz w:val="18"/>
              </w:rPr>
              <w:t>donors</w:t>
            </w:r>
          </w:p>
        </w:tc>
        <w:tc>
          <w:tcPr>
            <w:tcW w:type="dxa" w:w="1072"/>
            <w:tcBorders>
              <w:bottom w:val="single" w:sz="8"/>
            </w:tcBorders>
          </w:tcPr>
          <w:p>
            <w:pPr>
              <w:spacing w:line="240" w:lineRule="auto" w:after="40"/>
            </w:pPr>
            <w:r>
              <w:rPr>
                <w:rFonts w:ascii="Times New Roman" w:hAnsi="Times New Roman"/>
                <w:sz w:val="18"/>
              </w:rPr>
              <w:t>in-time placebo</w:t>
            </w:r>
          </w:p>
        </w:tc>
        <w:tc>
          <w:tcPr>
            <w:tcW w:type="dxa" w:w="1072"/>
            <w:tcBorders>
              <w:bottom w:val="single" w:sz="8"/>
            </w:tcBorders>
          </w:tcPr>
          <w:p>
            <w:pPr>
              <w:spacing w:line="240" w:lineRule="auto" w:after="40"/>
            </w:pPr>
            <w:r>
              <w:rPr>
                <w:rFonts w:ascii="Times New Roman" w:hAnsi="Times New Roman"/>
                <w:sz w:val="18"/>
              </w:rPr>
              <w:t>LOO range</w:t>
            </w:r>
          </w:p>
        </w:tc>
      </w:tr>
      <w:tr>
        <w:tc>
          <w:tcPr>
            <w:tcW w:type="dxa" w:w="1072"/>
          </w:tcPr>
          <w:p>
            <w:pPr>
              <w:spacing w:line="240" w:lineRule="auto" w:after="40"/>
            </w:pPr>
            <w:r>
              <w:rPr>
                <w:rFonts w:ascii="Times New Roman" w:hAnsi="Times New Roman"/>
                <w:sz w:val="18"/>
              </w:rPr>
              <w:t>Real GDP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0.015</w:t>
            </w:r>
          </w:p>
        </w:tc>
        <w:tc>
          <w:tcPr>
            <w:tcW w:type="dxa" w:w="1072"/>
          </w:tcPr>
          <w:p>
            <w:pPr>
              <w:spacing w:line="240" w:lineRule="auto" w:after="40"/>
            </w:pPr>
            <w:r>
              <w:rPr>
                <w:rFonts w:ascii="Times New Roman" w:hAnsi="Times New Roman"/>
                <w:sz w:val="18"/>
              </w:rPr>
              <w:t>+1.5%</w:t>
            </w:r>
          </w:p>
        </w:tc>
        <w:tc>
          <w:tcPr>
            <w:tcW w:type="dxa" w:w="1072"/>
          </w:tcPr>
          <w:p>
            <w:pPr>
              <w:spacing w:line="240" w:lineRule="auto" w:after="40"/>
            </w:pPr>
            <w:r>
              <w:rPr>
                <w:rFonts w:ascii="Times New Roman" w:hAnsi="Times New Roman"/>
                <w:sz w:val="18"/>
              </w:rPr>
              <w:t>0.71</w:t>
            </w:r>
          </w:p>
        </w:tc>
        <w:tc>
          <w:tcPr>
            <w:tcW w:type="dxa" w:w="1072"/>
          </w:tcPr>
          <w:p>
            <w:pPr>
              <w:spacing w:line="240" w:lineRule="auto" w:after="40"/>
            </w:pPr>
            <w:r>
              <w:rPr>
                <w:rFonts w:ascii="Times New Roman" w:hAnsi="Times New Roman"/>
                <w:sz w:val="18"/>
              </w:rPr>
              <w:t>0.015</w:t>
            </w:r>
          </w:p>
        </w:tc>
        <w:tc>
          <w:tcPr>
            <w:tcW w:type="dxa" w:w="1072"/>
          </w:tcPr>
          <w:p>
            <w:pPr>
              <w:spacing w:line="240" w:lineRule="auto" w:after="40"/>
            </w:pPr>
            <w:r>
              <w:rPr>
                <w:rFonts w:ascii="Times New Roman" w:hAnsi="Times New Roman"/>
                <w:sz w:val="18"/>
              </w:rPr>
              <w:t>33</w:t>
            </w:r>
          </w:p>
        </w:tc>
        <w:tc>
          <w:tcPr>
            <w:tcW w:type="dxa" w:w="1072"/>
          </w:tcPr>
          <w:p>
            <w:pPr>
              <w:spacing w:line="240" w:lineRule="auto" w:after="40"/>
            </w:pPr>
            <w:r>
              <w:rPr>
                <w:rFonts w:ascii="Times New Roman" w:hAnsi="Times New Roman"/>
                <w:sz w:val="18"/>
              </w:rPr>
              <w:t>0.056</w:t>
            </w:r>
          </w:p>
        </w:tc>
        <w:tc>
          <w:tcPr>
            <w:tcW w:type="dxa" w:w="1072"/>
          </w:tcPr>
          <w:p>
            <w:pPr>
              <w:spacing w:line="240" w:lineRule="auto" w:after="40"/>
            </w:pPr>
            <w:r>
              <w:rPr>
                <w:rFonts w:ascii="Times New Roman" w:hAnsi="Times New Roman"/>
                <w:sz w:val="18"/>
              </w:rPr>
              <w:t>0.009 to 0.029</w:t>
            </w:r>
          </w:p>
        </w:tc>
      </w:tr>
      <w:tr>
        <w:tc>
          <w:tcPr>
            <w:tcW w:type="dxa" w:w="1072"/>
          </w:tcPr>
          <w:p>
            <w:pPr>
              <w:spacing w:line="240" w:lineRule="auto" w:after="40"/>
            </w:pPr>
            <w:r>
              <w:rPr>
                <w:rFonts w:ascii="Times New Roman" w:hAnsi="Times New Roman"/>
                <w:sz w:val="18"/>
              </w:rPr>
              <w:t>Real GDP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-0.004</w:t>
            </w:r>
          </w:p>
        </w:tc>
        <w:tc>
          <w:tcPr>
            <w:tcW w:type="dxa" w:w="1072"/>
          </w:tcPr>
          <w:p>
            <w:pPr>
              <w:spacing w:line="240" w:lineRule="auto" w:after="40"/>
            </w:pPr>
            <w:r>
              <w:rPr>
                <w:rFonts w:ascii="Times New Roman" w:hAnsi="Times New Roman"/>
                <w:sz w:val="18"/>
              </w:rPr>
              <w:t>-0.4%</w:t>
            </w:r>
          </w:p>
        </w:tc>
        <w:tc>
          <w:tcPr>
            <w:tcW w:type="dxa" w:w="1072"/>
          </w:tcPr>
          <w:p>
            <w:pPr>
              <w:spacing w:line="240" w:lineRule="auto" w:after="40"/>
            </w:pPr>
            <w:r>
              <w:rPr>
                <w:rFonts w:ascii="Times New Roman" w:hAnsi="Times New Roman"/>
                <w:sz w:val="18"/>
              </w:rPr>
              <w:t>0.49</w:t>
            </w:r>
          </w:p>
        </w:tc>
        <w:tc>
          <w:tcPr>
            <w:tcW w:type="dxa" w:w="1072"/>
          </w:tcPr>
          <w:p>
            <w:pPr>
              <w:spacing w:line="240" w:lineRule="auto" w:after="40"/>
            </w:pPr>
            <w:r>
              <w:rPr>
                <w:rFonts w:ascii="Times New Roman" w:hAnsi="Times New Roman"/>
                <w:sz w:val="18"/>
              </w:rPr>
              <w:t>0.007</w:t>
            </w:r>
          </w:p>
        </w:tc>
        <w:tc>
          <w:tcPr>
            <w:tcW w:type="dxa" w:w="1072"/>
          </w:tcPr>
          <w:p>
            <w:pPr>
              <w:spacing w:line="240" w:lineRule="auto" w:after="40"/>
            </w:pPr>
            <w:r>
              <w:rPr>
                <w:rFonts w:ascii="Times New Roman" w:hAnsi="Times New Roman"/>
                <w:sz w:val="18"/>
              </w:rPr>
              <w:t>50</w:t>
            </w:r>
          </w:p>
        </w:tc>
        <w:tc>
          <w:tcPr>
            <w:tcW w:type="dxa" w:w="1072"/>
          </w:tcPr>
          <w:p>
            <w:pPr>
              <w:spacing w:line="240" w:lineRule="auto" w:after="40"/>
            </w:pPr>
            <w:r>
              <w:rPr>
                <w:rFonts w:ascii="Times New Roman" w:hAnsi="Times New Roman"/>
                <w:sz w:val="18"/>
              </w:rPr>
              <w:t>0.056</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Nonfarm employment</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-0.013</w:t>
            </w:r>
          </w:p>
        </w:tc>
        <w:tc>
          <w:tcPr>
            <w:tcW w:type="dxa" w:w="1072"/>
          </w:tcPr>
          <w:p>
            <w:pPr>
              <w:spacing w:line="240" w:lineRule="auto" w:after="40"/>
            </w:pPr>
            <w:r>
              <w:rPr>
                <w:rFonts w:ascii="Times New Roman" w:hAnsi="Times New Roman"/>
                <w:sz w:val="18"/>
              </w:rPr>
              <w:t>-1.3%</w:t>
            </w:r>
          </w:p>
        </w:tc>
        <w:tc>
          <w:tcPr>
            <w:tcW w:type="dxa" w:w="1072"/>
          </w:tcPr>
          <w:p>
            <w:pPr>
              <w:spacing w:line="240" w:lineRule="auto" w:after="40"/>
            </w:pPr>
            <w:r>
              <w:rPr>
                <w:rFonts w:ascii="Times New Roman" w:hAnsi="Times New Roman"/>
                <w:sz w:val="18"/>
              </w:rPr>
              <w:t>0.47</w:t>
            </w:r>
          </w:p>
        </w:tc>
        <w:tc>
          <w:tcPr>
            <w:tcW w:type="dxa" w:w="1072"/>
          </w:tcPr>
          <w:p>
            <w:pPr>
              <w:spacing w:line="240" w:lineRule="auto" w:after="40"/>
            </w:pPr>
            <w:r>
              <w:rPr>
                <w:rFonts w:ascii="Times New Roman" w:hAnsi="Times New Roman"/>
                <w:sz w:val="18"/>
              </w:rPr>
              <w:t>0.004</w:t>
            </w:r>
          </w:p>
        </w:tc>
        <w:tc>
          <w:tcPr>
            <w:tcW w:type="dxa" w:w="1072"/>
          </w:tcPr>
          <w:p>
            <w:pPr>
              <w:spacing w:line="240" w:lineRule="auto" w:after="40"/>
            </w:pPr>
            <w:r>
              <w:rPr>
                <w:rFonts w:ascii="Times New Roman" w:hAnsi="Times New Roman"/>
                <w:sz w:val="18"/>
              </w:rPr>
              <w:t>33</w:t>
            </w:r>
          </w:p>
        </w:tc>
        <w:tc>
          <w:tcPr>
            <w:tcW w:type="dxa" w:w="1072"/>
          </w:tcPr>
          <w:p>
            <w:pPr>
              <w:spacing w:line="240" w:lineRule="auto" w:after="40"/>
            </w:pPr>
            <w:r>
              <w:rPr>
                <w:rFonts w:ascii="Times New Roman" w:hAnsi="Times New Roman"/>
                <w:sz w:val="18"/>
              </w:rPr>
              <w:t>0.006</w:t>
            </w:r>
          </w:p>
        </w:tc>
        <w:tc>
          <w:tcPr>
            <w:tcW w:type="dxa" w:w="1072"/>
          </w:tcPr>
          <w:p>
            <w:pPr>
              <w:spacing w:line="240" w:lineRule="auto" w:after="40"/>
            </w:pPr>
            <w:r>
              <w:rPr>
                <w:rFonts w:ascii="Times New Roman" w:hAnsi="Times New Roman"/>
                <w:sz w:val="18"/>
              </w:rPr>
              <w:t>-0.014 to -0.001</w:t>
            </w:r>
          </w:p>
        </w:tc>
      </w:tr>
      <w:tr>
        <w:tc>
          <w:tcPr>
            <w:tcW w:type="dxa" w:w="1072"/>
          </w:tcPr>
          <w:p>
            <w:pPr>
              <w:spacing w:line="240" w:lineRule="auto" w:after="40"/>
            </w:pPr>
            <w:r>
              <w:rPr>
                <w:rFonts w:ascii="Times New Roman" w:hAnsi="Times New Roman"/>
                <w:sz w:val="18"/>
              </w:rPr>
              <w:t>Nonfarm employment</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-0.001</w:t>
            </w:r>
          </w:p>
        </w:tc>
        <w:tc>
          <w:tcPr>
            <w:tcW w:type="dxa" w:w="1072"/>
          </w:tcPr>
          <w:p>
            <w:pPr>
              <w:spacing w:line="240" w:lineRule="auto" w:after="40"/>
            </w:pPr>
            <w:r>
              <w:rPr>
                <w:rFonts w:ascii="Times New Roman" w:hAnsi="Times New Roman"/>
                <w:sz w:val="18"/>
              </w:rPr>
              <w:t>-0.1%</w:t>
            </w:r>
          </w:p>
        </w:tc>
        <w:tc>
          <w:tcPr>
            <w:tcW w:type="dxa" w:w="1072"/>
          </w:tcPr>
          <w:p>
            <w:pPr>
              <w:spacing w:line="240" w:lineRule="auto" w:after="40"/>
            </w:pPr>
            <w:r>
              <w:rPr>
                <w:rFonts w:ascii="Times New Roman" w:hAnsi="Times New Roman"/>
                <w:sz w:val="18"/>
              </w:rPr>
              <w:t>0.96</w:t>
            </w:r>
          </w:p>
        </w:tc>
        <w:tc>
          <w:tcPr>
            <w:tcW w:type="dxa" w:w="1072"/>
          </w:tcPr>
          <w:p>
            <w:pPr>
              <w:spacing w:line="240" w:lineRule="auto" w:after="40"/>
            </w:pPr>
            <w:r>
              <w:rPr>
                <w:rFonts w:ascii="Times New Roman" w:hAnsi="Times New Roman"/>
                <w:sz w:val="18"/>
              </w:rPr>
              <w:t>0.003</w:t>
            </w:r>
          </w:p>
        </w:tc>
        <w:tc>
          <w:tcPr>
            <w:tcW w:type="dxa" w:w="1072"/>
          </w:tcPr>
          <w:p>
            <w:pPr>
              <w:spacing w:line="240" w:lineRule="auto" w:after="40"/>
            </w:pPr>
            <w:r>
              <w:rPr>
                <w:rFonts w:ascii="Times New Roman" w:hAnsi="Times New Roman"/>
                <w:sz w:val="18"/>
              </w:rPr>
              <w:t>50</w:t>
            </w:r>
          </w:p>
        </w:tc>
        <w:tc>
          <w:tcPr>
            <w:tcW w:type="dxa" w:w="1072"/>
          </w:tcPr>
          <w:p>
            <w:pPr>
              <w:spacing w:line="240" w:lineRule="auto" w:after="40"/>
            </w:pPr>
            <w:r>
              <w:rPr>
                <w:rFonts w:ascii="Times New Roman" w:hAnsi="Times New Roman"/>
                <w:sz w:val="18"/>
              </w:rPr>
              <w:t>0.006</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Real total tax revenue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-0.031</w:t>
            </w:r>
          </w:p>
        </w:tc>
        <w:tc>
          <w:tcPr>
            <w:tcW w:type="dxa" w:w="1072"/>
          </w:tcPr>
          <w:p>
            <w:pPr>
              <w:spacing w:line="240" w:lineRule="auto" w:after="40"/>
            </w:pPr>
            <w:r>
              <w:rPr>
                <w:rFonts w:ascii="Times New Roman" w:hAnsi="Times New Roman"/>
                <w:sz w:val="18"/>
              </w:rPr>
              <w:t>-3.0%</w:t>
            </w:r>
          </w:p>
        </w:tc>
        <w:tc>
          <w:tcPr>
            <w:tcW w:type="dxa" w:w="1072"/>
          </w:tcPr>
          <w:p>
            <w:pPr>
              <w:spacing w:line="240" w:lineRule="auto" w:after="40"/>
            </w:pPr>
            <w:r>
              <w:rPr>
                <w:rFonts w:ascii="Times New Roman" w:hAnsi="Times New Roman"/>
                <w:sz w:val="18"/>
              </w:rPr>
              <w:t>0.18</w:t>
            </w:r>
          </w:p>
        </w:tc>
        <w:tc>
          <w:tcPr>
            <w:tcW w:type="dxa" w:w="1072"/>
          </w:tcPr>
          <w:p>
            <w:pPr>
              <w:spacing w:line="240" w:lineRule="auto" w:after="40"/>
            </w:pPr>
            <w:r>
              <w:rPr>
                <w:rFonts w:ascii="Times New Roman" w:hAnsi="Times New Roman"/>
                <w:sz w:val="18"/>
              </w:rPr>
              <w:t>0.013</w:t>
            </w:r>
          </w:p>
        </w:tc>
        <w:tc>
          <w:tcPr>
            <w:tcW w:type="dxa" w:w="1072"/>
          </w:tcPr>
          <w:p>
            <w:pPr>
              <w:spacing w:line="240" w:lineRule="auto" w:after="40"/>
            </w:pPr>
            <w:r>
              <w:rPr>
                <w:rFonts w:ascii="Times New Roman" w:hAnsi="Times New Roman"/>
                <w:sz w:val="18"/>
              </w:rPr>
              <w:t>32</w:t>
            </w:r>
          </w:p>
        </w:tc>
        <w:tc>
          <w:tcPr>
            <w:tcW w:type="dxa" w:w="1072"/>
          </w:tcPr>
          <w:p>
            <w:pPr>
              <w:spacing w:line="240" w:lineRule="auto" w:after="40"/>
            </w:pPr>
            <w:r>
              <w:rPr>
                <w:rFonts w:ascii="Times New Roman" w:hAnsi="Times New Roman"/>
                <w:sz w:val="18"/>
              </w:rPr>
              <w:t>0.075</w:t>
            </w:r>
          </w:p>
        </w:tc>
        <w:tc>
          <w:tcPr>
            <w:tcW w:type="dxa" w:w="1072"/>
          </w:tcPr>
          <w:p>
            <w:pPr>
              <w:spacing w:line="240" w:lineRule="auto" w:after="40"/>
            </w:pPr>
            <w:r>
              <w:rPr>
                <w:rFonts w:ascii="Times New Roman" w:hAnsi="Times New Roman"/>
                <w:sz w:val="18"/>
              </w:rPr>
              <w:t>-0.039 to -0.028</w:t>
            </w:r>
          </w:p>
        </w:tc>
      </w:tr>
      <w:tr>
        <w:tc>
          <w:tcPr>
            <w:tcW w:type="dxa" w:w="1072"/>
          </w:tcPr>
          <w:p>
            <w:pPr>
              <w:spacing w:line="240" w:lineRule="auto" w:after="40"/>
            </w:pPr>
            <w:r>
              <w:rPr>
                <w:rFonts w:ascii="Times New Roman" w:hAnsi="Times New Roman"/>
                <w:sz w:val="18"/>
              </w:rPr>
              <w:t>Real total tax revenue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0.030</w:t>
            </w:r>
          </w:p>
        </w:tc>
        <w:tc>
          <w:tcPr>
            <w:tcW w:type="dxa" w:w="1072"/>
          </w:tcPr>
          <w:p>
            <w:pPr>
              <w:spacing w:line="240" w:lineRule="auto" w:after="40"/>
            </w:pPr>
            <w:r>
              <w:rPr>
                <w:rFonts w:ascii="Times New Roman" w:hAnsi="Times New Roman"/>
                <w:sz w:val="18"/>
              </w:rPr>
              <w:t>+3.1%</w:t>
            </w:r>
          </w:p>
        </w:tc>
        <w:tc>
          <w:tcPr>
            <w:tcW w:type="dxa" w:w="1072"/>
          </w:tcPr>
          <w:p>
            <w:pPr>
              <w:spacing w:line="240" w:lineRule="auto" w:after="40"/>
            </w:pPr>
            <w:r>
              <w:rPr>
                <w:rFonts w:ascii="Times New Roman" w:hAnsi="Times New Roman"/>
                <w:sz w:val="18"/>
              </w:rPr>
              <w:t>0.12</w:t>
            </w:r>
          </w:p>
        </w:tc>
        <w:tc>
          <w:tcPr>
            <w:tcW w:type="dxa" w:w="1072"/>
          </w:tcPr>
          <w:p>
            <w:pPr>
              <w:spacing w:line="240" w:lineRule="auto" w:after="40"/>
            </w:pPr>
            <w:r>
              <w:rPr>
                <w:rFonts w:ascii="Times New Roman" w:hAnsi="Times New Roman"/>
                <w:sz w:val="18"/>
              </w:rPr>
              <w:t>0.010</w:t>
            </w:r>
          </w:p>
        </w:tc>
        <w:tc>
          <w:tcPr>
            <w:tcW w:type="dxa" w:w="1072"/>
          </w:tcPr>
          <w:p>
            <w:pPr>
              <w:spacing w:line="240" w:lineRule="auto" w:after="40"/>
            </w:pPr>
            <w:r>
              <w:rPr>
                <w:rFonts w:ascii="Times New Roman" w:hAnsi="Times New Roman"/>
                <w:sz w:val="18"/>
              </w:rPr>
              <w:t>49</w:t>
            </w:r>
          </w:p>
        </w:tc>
        <w:tc>
          <w:tcPr>
            <w:tcW w:type="dxa" w:w="1072"/>
          </w:tcPr>
          <w:p>
            <w:pPr>
              <w:spacing w:line="240" w:lineRule="auto" w:after="40"/>
            </w:pPr>
            <w:r>
              <w:rPr>
                <w:rFonts w:ascii="Times New Roman" w:hAnsi="Times New Roman"/>
                <w:sz w:val="18"/>
              </w:rPr>
              <w:t>0.075</w:t>
            </w:r>
          </w:p>
        </w:tc>
        <w:tc>
          <w:tcPr>
            <w:tcW w:type="dxa" w:w="1072"/>
          </w:tcPr>
          <w:p>
            <w:pPr>
              <w:spacing w:line="240" w:lineRule="auto" w:after="40"/>
            </w:pPr>
            <w:r>
              <w:rPr>
                <w:rFonts w:ascii="Times New Roman" w:hAnsi="Times New Roman"/>
                <w:sz w:val="18"/>
              </w:rPr>
              <w:t>-</w:t>
            </w:r>
          </w:p>
        </w:tc>
      </w:tr>
      <w:tr>
        <w:tc>
          <w:tcPr>
            <w:tcW w:type="dxa" w:w="1072"/>
          </w:tcPr>
          <w:p>
            <w:pPr>
              <w:spacing w:line="240" w:lineRule="auto" w:after="40"/>
            </w:pPr>
            <w:r>
              <w:rPr>
                <w:rFonts w:ascii="Times New Roman" w:hAnsi="Times New Roman"/>
                <w:sz w:val="18"/>
              </w:rPr>
              <w:t>Real individual income-tax revenue per capita</w:t>
            </w:r>
          </w:p>
        </w:tc>
        <w:tc>
          <w:tcPr>
            <w:tcW w:type="dxa" w:w="1072"/>
          </w:tcPr>
          <w:p>
            <w:pPr>
              <w:spacing w:line="240" w:lineRule="auto" w:after="40"/>
            </w:pPr>
            <w:r>
              <w:rPr>
                <w:rFonts w:ascii="Times New Roman" w:hAnsi="Times New Roman"/>
                <w:sz w:val="18"/>
              </w:rPr>
              <w:t>Main</w:t>
            </w:r>
          </w:p>
        </w:tc>
        <w:tc>
          <w:tcPr>
            <w:tcW w:type="dxa" w:w="1072"/>
          </w:tcPr>
          <w:p>
            <w:pPr>
              <w:spacing w:line="240" w:lineRule="auto" w:after="40"/>
            </w:pPr>
            <w:r>
              <w:rPr>
                <w:rFonts w:ascii="Times New Roman" w:hAnsi="Times New Roman"/>
                <w:sz w:val="18"/>
              </w:rPr>
              <w:t>-0.313</w:t>
            </w:r>
          </w:p>
        </w:tc>
        <w:tc>
          <w:tcPr>
            <w:tcW w:type="dxa" w:w="1072"/>
          </w:tcPr>
          <w:p>
            <w:pPr>
              <w:spacing w:line="240" w:lineRule="auto" w:after="40"/>
            </w:pPr>
            <w:r>
              <w:rPr>
                <w:rFonts w:ascii="Times New Roman" w:hAnsi="Times New Roman"/>
                <w:sz w:val="18"/>
              </w:rPr>
              <w:t>-26.9%</w:t>
            </w:r>
          </w:p>
        </w:tc>
        <w:tc>
          <w:tcPr>
            <w:tcW w:type="dxa" w:w="1072"/>
          </w:tcPr>
          <w:p>
            <w:pPr>
              <w:spacing w:line="240" w:lineRule="auto" w:after="40"/>
            </w:pPr>
            <w:r>
              <w:rPr>
                <w:rFonts w:ascii="Times New Roman" w:hAnsi="Times New Roman"/>
                <w:sz w:val="18"/>
              </w:rPr>
              <w:t>0.03</w:t>
            </w:r>
          </w:p>
        </w:tc>
        <w:tc>
          <w:tcPr>
            <w:tcW w:type="dxa" w:w="1072"/>
          </w:tcPr>
          <w:p>
            <w:pPr>
              <w:spacing w:line="240" w:lineRule="auto" w:after="40"/>
            </w:pPr>
            <w:r>
              <w:rPr>
                <w:rFonts w:ascii="Times New Roman" w:hAnsi="Times New Roman"/>
                <w:sz w:val="18"/>
              </w:rPr>
              <w:t>0.025</w:t>
            </w:r>
          </w:p>
        </w:tc>
        <w:tc>
          <w:tcPr>
            <w:tcW w:type="dxa" w:w="1072"/>
          </w:tcPr>
          <w:p>
            <w:pPr>
              <w:spacing w:line="240" w:lineRule="auto" w:after="40"/>
            </w:pPr>
            <w:r>
              <w:rPr>
                <w:rFonts w:ascii="Times New Roman" w:hAnsi="Times New Roman"/>
                <w:sz w:val="18"/>
              </w:rPr>
              <w:t>32</w:t>
            </w:r>
          </w:p>
        </w:tc>
        <w:tc>
          <w:tcPr>
            <w:tcW w:type="dxa" w:w="1072"/>
          </w:tcPr>
          <w:p>
            <w:pPr>
              <w:spacing w:line="240" w:lineRule="auto" w:after="40"/>
            </w:pPr>
            <w:r>
              <w:rPr>
                <w:rFonts w:ascii="Times New Roman" w:hAnsi="Times New Roman"/>
                <w:sz w:val="18"/>
              </w:rPr>
              <w:t>0.103</w:t>
            </w:r>
          </w:p>
        </w:tc>
        <w:tc>
          <w:tcPr>
            <w:tcW w:type="dxa" w:w="1072"/>
          </w:tcPr>
          <w:p>
            <w:pPr>
              <w:spacing w:line="240" w:lineRule="auto" w:after="40"/>
            </w:pPr>
            <w:r>
              <w:rPr>
                <w:rFonts w:ascii="Times New Roman" w:hAnsi="Times New Roman"/>
                <w:sz w:val="18"/>
              </w:rPr>
              <w:t>-0.322 to -0.291</w:t>
            </w:r>
          </w:p>
        </w:tc>
      </w:tr>
      <w:tr>
        <w:tc>
          <w:tcPr>
            <w:tcW w:type="dxa" w:w="1072"/>
          </w:tcPr>
          <w:p>
            <w:pPr>
              <w:spacing w:line="240" w:lineRule="auto" w:after="40"/>
            </w:pPr>
            <w:r>
              <w:rPr>
                <w:rFonts w:ascii="Times New Roman" w:hAnsi="Times New Roman"/>
                <w:sz w:val="18"/>
              </w:rPr>
              <w:t>Real individual income-tax revenue per capita</w:t>
            </w:r>
          </w:p>
        </w:tc>
        <w:tc>
          <w:tcPr>
            <w:tcW w:type="dxa" w:w="1072"/>
          </w:tcPr>
          <w:p>
            <w:pPr>
              <w:spacing w:line="240" w:lineRule="auto" w:after="40"/>
            </w:pPr>
            <w:r>
              <w:rPr>
                <w:rFonts w:ascii="Times New Roman" w:hAnsi="Times New Roman"/>
                <w:sz w:val="18"/>
              </w:rPr>
              <w:t>All states</w:t>
            </w:r>
          </w:p>
        </w:tc>
        <w:tc>
          <w:tcPr>
            <w:tcW w:type="dxa" w:w="1072"/>
          </w:tcPr>
          <w:p>
            <w:pPr>
              <w:spacing w:line="240" w:lineRule="auto" w:after="40"/>
            </w:pPr>
            <w:r>
              <w:rPr>
                <w:rFonts w:ascii="Times New Roman" w:hAnsi="Times New Roman"/>
                <w:sz w:val="18"/>
              </w:rPr>
              <w:t>-0.301</w:t>
            </w:r>
          </w:p>
        </w:tc>
        <w:tc>
          <w:tcPr>
            <w:tcW w:type="dxa" w:w="1072"/>
          </w:tcPr>
          <w:p>
            <w:pPr>
              <w:spacing w:line="240" w:lineRule="auto" w:after="40"/>
            </w:pPr>
            <w:r>
              <w:rPr>
                <w:rFonts w:ascii="Times New Roman" w:hAnsi="Times New Roman"/>
                <w:sz w:val="18"/>
              </w:rPr>
              <w:t>-26.0%</w:t>
            </w:r>
          </w:p>
        </w:tc>
        <w:tc>
          <w:tcPr>
            <w:tcW w:type="dxa" w:w="1072"/>
          </w:tcPr>
          <w:p>
            <w:pPr>
              <w:spacing w:line="240" w:lineRule="auto" w:after="40"/>
            </w:pPr>
            <w:r>
              <w:rPr>
                <w:rFonts w:ascii="Times New Roman" w:hAnsi="Times New Roman"/>
                <w:sz w:val="18"/>
              </w:rPr>
              <w:t>0.02</w:t>
            </w:r>
          </w:p>
        </w:tc>
        <w:tc>
          <w:tcPr>
            <w:tcW w:type="dxa" w:w="1072"/>
          </w:tcPr>
          <w:p>
            <w:pPr>
              <w:spacing w:line="240" w:lineRule="auto" w:after="40"/>
            </w:pPr>
            <w:r>
              <w:rPr>
                <w:rFonts w:ascii="Times New Roman" w:hAnsi="Times New Roman"/>
                <w:sz w:val="18"/>
              </w:rPr>
              <w:t>0.019</w:t>
            </w:r>
          </w:p>
        </w:tc>
        <w:tc>
          <w:tcPr>
            <w:tcW w:type="dxa" w:w="1072"/>
          </w:tcPr>
          <w:p>
            <w:pPr>
              <w:spacing w:line="240" w:lineRule="auto" w:after="40"/>
            </w:pPr>
            <w:r>
              <w:rPr>
                <w:rFonts w:ascii="Times New Roman" w:hAnsi="Times New Roman"/>
                <w:sz w:val="18"/>
              </w:rPr>
              <w:t>42</w:t>
            </w:r>
          </w:p>
        </w:tc>
        <w:tc>
          <w:tcPr>
            <w:tcW w:type="dxa" w:w="1072"/>
          </w:tcPr>
          <w:p>
            <w:pPr>
              <w:spacing w:line="240" w:lineRule="auto" w:after="40"/>
            </w:pPr>
            <w:r>
              <w:rPr>
                <w:rFonts w:ascii="Times New Roman" w:hAnsi="Times New Roman"/>
                <w:sz w:val="18"/>
              </w:rPr>
              <w:t>0.103</w:t>
            </w:r>
          </w:p>
        </w:tc>
        <w:tc>
          <w:tcPr>
            <w:tcW w:type="dxa" w:w="1072"/>
          </w:tcPr>
          <w:p>
            <w:pPr>
              <w:spacing w:line="240" w:lineRule="auto" w:after="40"/>
            </w:pPr>
            <w:r>
              <w:rPr>
                <w:rFonts w:ascii="Times New Roman" w:hAnsi="Times New Roman"/>
                <w:sz w:val="18"/>
              </w:rPr>
              <w:t>-</w:t>
            </w:r>
          </w:p>
        </w:tc>
      </w:tr>
    </w:tbl>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Caption"/>
        <w:spacing w:before="240"/>
        <w:jc w:val="center"/>
      </w:pPr>
      <w:r>
        <w:t>Table 5. Comparative summary of the two cases across the common dimensions. The cases are not statistically comparable; the final column states the comparative lesson each contrast supports.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pPr>
              <w:spacing w:line="240" w:lineRule="auto" w:after="40"/>
            </w:pPr>
            <w:r>
              <w:rPr>
                <w:rFonts w:ascii="Times New Roman" w:hAnsi="Times New Roman"/>
                <w:sz w:val="18"/>
              </w:rPr>
              <w:t>Comparative dimension</w:t>
            </w:r>
          </w:p>
        </w:tc>
        <w:tc>
          <w:tcPr>
            <w:tcW w:type="dxa" w:w="2412"/>
            <w:tcBorders>
              <w:bottom w:val="single" w:sz="8"/>
            </w:tcBorders>
          </w:tcPr>
          <w:p>
            <w:pPr>
              <w:spacing w:line="240" w:lineRule="auto" w:after="40"/>
            </w:pPr>
            <w:r>
              <w:rPr>
                <w:rFonts w:ascii="Times New Roman" w:hAnsi="Times New Roman"/>
                <w:sz w:val="18"/>
              </w:rPr>
              <w:t>Fukushima evacuation</w:t>
            </w:r>
          </w:p>
        </w:tc>
        <w:tc>
          <w:tcPr>
            <w:tcW w:type="dxa" w:w="2412"/>
            <w:tcBorders>
              <w:bottom w:val="single" w:sz="8"/>
            </w:tcBorders>
          </w:tcPr>
          <w:p>
            <w:pPr>
              <w:spacing w:line="240" w:lineRule="auto" w:after="40"/>
            </w:pPr>
            <w:r>
              <w:rPr>
                <w:rFonts w:ascii="Times New Roman" w:hAnsi="Times New Roman"/>
                <w:sz w:val="18"/>
              </w:rPr>
              <w:t>Kansas tax reform</w:t>
            </w:r>
          </w:p>
        </w:tc>
        <w:tc>
          <w:tcPr>
            <w:tcW w:type="dxa" w:w="2412"/>
            <w:tcBorders>
              <w:bottom w:val="single" w:sz="8"/>
            </w:tcBorders>
          </w:tcPr>
          <w:p>
            <w:pPr>
              <w:spacing w:line="240" w:lineRule="auto" w:after="40"/>
            </w:pPr>
            <w:r>
              <w:rPr>
                <w:rFonts w:ascii="Times New Roman" w:hAnsi="Times New Roman"/>
                <w:sz w:val="18"/>
              </w:rPr>
              <w:t>Comparative lesson</w:t>
            </w:r>
          </w:p>
        </w:tc>
      </w:tr>
      <w:tr>
        <w:tc>
          <w:tcPr>
            <w:tcW w:type="dxa" w:w="2412"/>
          </w:tcPr>
          <w:p>
            <w:pPr>
              <w:spacing w:line="240" w:lineRule="auto" w:after="40"/>
            </w:pPr>
            <w:r>
              <w:rPr>
                <w:rFonts w:ascii="Times New Roman" w:hAnsi="Times New Roman"/>
                <w:sz w:val="18"/>
              </w:rPr>
              <w:t>Policy domain</w:t>
            </w:r>
          </w:p>
        </w:tc>
        <w:tc>
          <w:tcPr>
            <w:tcW w:type="dxa" w:w="2412"/>
          </w:tcPr>
          <w:p>
            <w:pPr>
              <w:spacing w:line="240" w:lineRule="auto" w:after="40"/>
            </w:pPr>
            <w:r>
              <w:rPr>
                <w:rFonts w:ascii="Times New Roman" w:hAnsi="Times New Roman"/>
                <w:sz w:val="18"/>
              </w:rPr>
              <w:t>Radiation protection; emergency public health</w:t>
            </w:r>
          </w:p>
        </w:tc>
        <w:tc>
          <w:tcPr>
            <w:tcW w:type="dxa" w:w="2412"/>
          </w:tcPr>
          <w:p>
            <w:pPr>
              <w:spacing w:line="240" w:lineRule="auto" w:after="40"/>
            </w:pPr>
            <w:r>
              <w:rPr>
                <w:rFonts w:ascii="Times New Roman" w:hAnsi="Times New Roman"/>
                <w:sz w:val="18"/>
              </w:rPr>
              <w:t>Fiscal and economic policy</w:t>
            </w:r>
          </w:p>
        </w:tc>
        <w:tc>
          <w:tcPr>
            <w:tcW w:type="dxa" w:w="2412"/>
          </w:tcPr>
          <w:p>
            <w:pPr>
              <w:spacing w:line="240" w:lineRule="auto" w:after="40"/>
            </w:pPr>
            <w:r>
              <w:rPr>
                <w:rFonts w:ascii="Times New Roman" w:hAnsi="Times New Roman"/>
                <w:sz w:val="18"/>
              </w:rPr>
              <w:t>The mechanism is domain-general: a named curve can carry a decision in any sector.</w:t>
            </w:r>
          </w:p>
        </w:tc>
      </w:tr>
      <w:tr>
        <w:tc>
          <w:tcPr>
            <w:tcW w:type="dxa" w:w="2412"/>
          </w:tcPr>
          <w:p>
            <w:pPr>
              <w:spacing w:line="240" w:lineRule="auto" w:after="40"/>
            </w:pPr>
            <w:r>
              <w:rPr>
                <w:rFonts w:ascii="Times New Roman" w:hAnsi="Times New Roman"/>
                <w:sz w:val="18"/>
              </w:rPr>
              <w:t>Policy objective</w:t>
            </w:r>
          </w:p>
        </w:tc>
        <w:tc>
          <w:tcPr>
            <w:tcW w:type="dxa" w:w="2412"/>
          </w:tcPr>
          <w:p>
            <w:pPr>
              <w:spacing w:line="240" w:lineRule="auto" w:after="40"/>
            </w:pPr>
            <w:r>
              <w:rPr>
                <w:rFonts w:ascii="Times New Roman" w:hAnsi="Times New Roman"/>
                <w:sz w:val="18"/>
              </w:rPr>
              <w:t>Reduce population radiation exposure</w:t>
            </w:r>
          </w:p>
        </w:tc>
        <w:tc>
          <w:tcPr>
            <w:tcW w:type="dxa" w:w="2412"/>
          </w:tcPr>
          <w:p>
            <w:pPr>
              <w:spacing w:line="240" w:lineRule="auto" w:after="40"/>
            </w:pPr>
            <w:r>
              <w:rPr>
                <w:rFonts w:ascii="Times New Roman" w:hAnsi="Times New Roman"/>
                <w:sz w:val="18"/>
              </w:rPr>
              <w:t>Raise growth while recovering revenue</w:t>
            </w:r>
          </w:p>
        </w:tc>
        <w:tc>
          <w:tcPr>
            <w:tcW w:type="dxa" w:w="2412"/>
          </w:tcPr>
          <w:p>
            <w:pPr>
              <w:spacing w:line="240" w:lineRule="auto" w:after="40"/>
            </w:pPr>
            <w:r>
              <w:rPr>
                <w:rFonts w:ascii="Times New Roman" w:hAnsi="Times New Roman"/>
                <w:sz w:val="18"/>
              </w:rPr>
              <w:t>Both objectives required a specific shape, not just an association.</w:t>
            </w:r>
          </w:p>
        </w:tc>
      </w:tr>
      <w:tr>
        <w:tc>
          <w:tcPr>
            <w:tcW w:type="dxa" w:w="2412"/>
          </w:tcPr>
          <w:p>
            <w:pPr>
              <w:spacing w:line="240" w:lineRule="auto" w:after="40"/>
            </w:pPr>
            <w:r>
              <w:rPr>
                <w:rFonts w:ascii="Times New Roman" w:hAnsi="Times New Roman"/>
                <w:sz w:val="18"/>
              </w:rPr>
              <w:t>Canonical relationship</w:t>
            </w:r>
          </w:p>
        </w:tc>
        <w:tc>
          <w:tcPr>
            <w:tcW w:type="dxa" w:w="2412"/>
          </w:tcPr>
          <w:p>
            <w:pPr>
              <w:spacing w:line="240" w:lineRule="auto" w:after="40"/>
            </w:pPr>
            <w:r>
              <w:rPr>
                <w:rFonts w:ascii="Times New Roman" w:hAnsi="Times New Roman"/>
                <w:sz w:val="18"/>
              </w:rPr>
              <w:t>Low-dose radiation dose-response</w:t>
            </w:r>
          </w:p>
        </w:tc>
        <w:tc>
          <w:tcPr>
            <w:tcW w:type="dxa" w:w="2412"/>
          </w:tcPr>
          <w:p>
            <w:pPr>
              <w:spacing w:line="240" w:lineRule="auto" w:after="40"/>
            </w:pPr>
            <w:r>
              <w:rPr>
                <w:rFonts w:ascii="Times New Roman" w:hAnsi="Times New Roman"/>
                <w:sz w:val="18"/>
              </w:rPr>
              <w:t>Tax rate-revenue and growth response</w:t>
            </w:r>
          </w:p>
        </w:tc>
        <w:tc>
          <w:tcPr>
            <w:tcW w:type="dxa" w:w="2412"/>
          </w:tcPr>
          <w:p>
            <w:pPr>
              <w:spacing w:line="240" w:lineRule="auto" w:after="40"/>
            </w:pPr>
            <w:r>
              <w:rPr>
                <w:rFonts w:ascii="Times New Roman" w:hAnsi="Times New Roman"/>
                <w:sz w:val="18"/>
              </w:rPr>
              <w:t>Named curves compress multi-step arguments into portable pictures.</w:t>
            </w:r>
          </w:p>
        </w:tc>
      </w:tr>
      <w:tr>
        <w:tc>
          <w:tcPr>
            <w:tcW w:type="dxa" w:w="2412"/>
          </w:tcPr>
          <w:p>
            <w:pPr>
              <w:spacing w:line="240" w:lineRule="auto" w:after="40"/>
            </w:pPr>
            <w:r>
              <w:rPr>
                <w:rFonts w:ascii="Times New Roman" w:hAnsi="Times New Roman"/>
                <w:sz w:val="18"/>
              </w:rPr>
              <w:t>Decision-relevant feature</w:t>
            </w:r>
          </w:p>
        </w:tc>
        <w:tc>
          <w:tcPr>
            <w:tcW w:type="dxa" w:w="2412"/>
          </w:tcPr>
          <w:p>
            <w:pPr>
              <w:spacing w:line="240" w:lineRule="auto" w:after="40"/>
            </w:pPr>
            <w:r>
              <w:rPr>
                <w:rFonts w:ascii="Times New Roman" w:hAnsi="Times New Roman"/>
                <w:sz w:val="18"/>
              </w:rPr>
              <w:t>Low-dose slope below observed doses</w:t>
            </w:r>
          </w:p>
        </w:tc>
        <w:tc>
          <w:tcPr>
            <w:tcW w:type="dxa" w:w="2412"/>
          </w:tcPr>
          <w:p>
            <w:pPr>
              <w:spacing w:line="240" w:lineRule="auto" w:after="40"/>
            </w:pPr>
            <w:r>
              <w:rPr>
                <w:rFonts w:ascii="Times New Roman" w:hAnsi="Times New Roman"/>
                <w:sz w:val="18"/>
              </w:rPr>
              <w:t>Local position, slope, and dynamic response</w:t>
            </w:r>
          </w:p>
        </w:tc>
        <w:tc>
          <w:tcPr>
            <w:tcW w:type="dxa" w:w="2412"/>
          </w:tcPr>
          <w:p>
            <w:pPr>
              <w:spacing w:line="240" w:lineRule="auto" w:after="40"/>
            </w:pPr>
            <w:r>
              <w:rPr>
                <w:rFonts w:ascii="Times New Roman" w:hAnsi="Times New Roman"/>
                <w:sz w:val="18"/>
              </w:rPr>
              <w:t>Each decision needed one feature of the curve, not the curve as a whole.</w:t>
            </w:r>
          </w:p>
        </w:tc>
      </w:tr>
      <w:tr>
        <w:tc>
          <w:tcPr>
            <w:tcW w:type="dxa" w:w="2412"/>
          </w:tcPr>
          <w:p>
            <w:pPr>
              <w:spacing w:line="240" w:lineRule="auto" w:after="40"/>
            </w:pPr>
            <w:r>
              <w:rPr>
                <w:rFonts w:ascii="Times New Roman" w:hAnsi="Times New Roman"/>
                <w:sz w:val="18"/>
              </w:rPr>
              <w:t>Type of uncertainty</w:t>
            </w:r>
          </w:p>
        </w:tc>
        <w:tc>
          <w:tcPr>
            <w:tcW w:type="dxa" w:w="2412"/>
          </w:tcPr>
          <w:p>
            <w:pPr>
              <w:spacing w:line="240" w:lineRule="auto" w:after="40"/>
            </w:pPr>
            <w:r>
              <w:rPr>
                <w:rFonts w:ascii="Times New Roman" w:hAnsi="Times New Roman"/>
                <w:sz w:val="18"/>
              </w:rPr>
              <w:t>Extrapolation below the observed range</w:t>
            </w:r>
          </w:p>
        </w:tc>
        <w:tc>
          <w:tcPr>
            <w:tcW w:type="dxa" w:w="2412"/>
          </w:tcPr>
          <w:p>
            <w:pPr>
              <w:spacing w:line="240" w:lineRule="auto" w:after="40"/>
            </w:pPr>
            <w:r>
              <w:rPr>
                <w:rFonts w:ascii="Times New Roman" w:hAnsi="Times New Roman"/>
                <w:sz w:val="18"/>
              </w:rPr>
              <w:t>Local-position and response-geometry uncertainty</w:t>
            </w:r>
          </w:p>
        </w:tc>
        <w:tc>
          <w:tcPr>
            <w:tcW w:type="dxa" w:w="2412"/>
          </w:tcPr>
          <w:p>
            <w:pPr>
              <w:spacing w:line="240" w:lineRule="auto" w:after="40"/>
            </w:pPr>
            <w:r>
              <w:rPr>
                <w:rFonts w:ascii="Times New Roman" w:hAnsi="Times New Roman"/>
                <w:sz w:val="18"/>
              </w:rPr>
              <w:t>Different uncertainty locations produce different appraisal priorities.</w:t>
            </w:r>
          </w:p>
        </w:tc>
      </w:tr>
      <w:tr>
        <w:tc>
          <w:tcPr>
            <w:tcW w:type="dxa" w:w="2412"/>
          </w:tcPr>
          <w:p>
            <w:pPr>
              <w:spacing w:line="240" w:lineRule="auto" w:after="40"/>
            </w:pPr>
            <w:r>
              <w:rPr>
                <w:rFonts w:ascii="Times New Roman" w:hAnsi="Times New Roman"/>
                <w:sz w:val="18"/>
              </w:rPr>
              <w:t>Extrapolation burden</w:t>
            </w:r>
          </w:p>
        </w:tc>
        <w:tc>
          <w:tcPr>
            <w:tcW w:type="dxa" w:w="2412"/>
          </w:tcPr>
          <w:p>
            <w:pPr>
              <w:spacing w:line="240" w:lineRule="auto" w:after="40"/>
            </w:pPr>
            <w:r>
              <w:rPr>
                <w:rFonts w:ascii="Times New Roman" w:hAnsi="Times New Roman"/>
                <w:sz w:val="18"/>
              </w:rPr>
              <w:t>High; few observations below 0.1 Gy</w:t>
            </w:r>
          </w:p>
        </w:tc>
        <w:tc>
          <w:tcPr>
            <w:tcW w:type="dxa" w:w="2412"/>
          </w:tcPr>
          <w:p>
            <w:pPr>
              <w:spacing w:line="240" w:lineRule="auto" w:after="40"/>
            </w:pPr>
            <w:r>
              <w:rPr>
                <w:rFonts w:ascii="Times New Roman" w:hAnsi="Times New Roman"/>
                <w:sz w:val="18"/>
              </w:rPr>
              <w:t>Moderate; within-state history but untested rate cut</w:t>
            </w:r>
          </w:p>
        </w:tc>
        <w:tc>
          <w:tcPr>
            <w:tcW w:type="dxa" w:w="2412"/>
          </w:tcPr>
          <w:p>
            <w:pPr>
              <w:spacing w:line="240" w:lineRule="auto" w:after="40"/>
            </w:pPr>
            <w:r>
              <w:rPr>
                <w:rFonts w:ascii="Times New Roman" w:hAnsi="Times New Roman"/>
                <w:sz w:val="18"/>
              </w:rPr>
              <w:t>Extrapolation burden predicts how far evidence can carry a decision.</w:t>
            </w:r>
          </w:p>
        </w:tc>
      </w:tr>
      <w:tr>
        <w:tc>
          <w:tcPr>
            <w:tcW w:type="dxa" w:w="2412"/>
          </w:tcPr>
          <w:p>
            <w:pPr>
              <w:spacing w:line="240" w:lineRule="auto" w:after="40"/>
            </w:pPr>
            <w:r>
              <w:rPr>
                <w:rFonts w:ascii="Times New Roman" w:hAnsi="Times New Roman"/>
                <w:sz w:val="18"/>
              </w:rPr>
              <w:t>Transportability</w:t>
            </w:r>
          </w:p>
        </w:tc>
        <w:tc>
          <w:tcPr>
            <w:tcW w:type="dxa" w:w="2412"/>
          </w:tcPr>
          <w:p>
            <w:pPr>
              <w:spacing w:line="240" w:lineRule="auto" w:after="40"/>
            </w:pPr>
            <w:r>
              <w:rPr>
                <w:rFonts w:ascii="Times New Roman" w:hAnsi="Times New Roman"/>
                <w:sz w:val="18"/>
              </w:rPr>
              <w:t>Atomic-bomb and occupational evidence to municipal exposure</w:t>
            </w:r>
          </w:p>
        </w:tc>
        <w:tc>
          <w:tcPr>
            <w:tcW w:type="dxa" w:w="2412"/>
          </w:tcPr>
          <w:p>
            <w:pPr>
              <w:spacing w:line="240" w:lineRule="auto" w:after="40"/>
            </w:pPr>
            <w:r>
              <w:rPr>
                <w:rFonts w:ascii="Times New Roman" w:hAnsi="Times New Roman"/>
                <w:sz w:val="18"/>
              </w:rPr>
              <w:t>Cross-state and theoretical evidence to one state's response</w:t>
            </w:r>
          </w:p>
        </w:tc>
        <w:tc>
          <w:tcPr>
            <w:tcW w:type="dxa" w:w="2412"/>
          </w:tcPr>
          <w:p>
            <w:pPr>
              <w:spacing w:line="240" w:lineRule="auto" w:after="40"/>
            </w:pPr>
            <w:r>
              <w:rPr>
                <w:rFonts w:ascii="Times New Roman" w:hAnsi="Times New Roman"/>
                <w:sz w:val="18"/>
              </w:rPr>
              <w:t>Transport gaps differ in kind; decompose them by population, period, and institution.</w:t>
            </w:r>
          </w:p>
        </w:tc>
      </w:tr>
      <w:tr>
        <w:tc>
          <w:tcPr>
            <w:tcW w:type="dxa" w:w="2412"/>
          </w:tcPr>
          <w:p>
            <w:pPr>
              <w:spacing w:line="240" w:lineRule="auto" w:after="40"/>
            </w:pPr>
            <w:r>
              <w:rPr>
                <w:rFonts w:ascii="Times New Roman" w:hAnsi="Times New Roman"/>
                <w:sz w:val="18"/>
              </w:rPr>
              <w:t>Decision sensitivity</w:t>
            </w:r>
          </w:p>
        </w:tc>
        <w:tc>
          <w:tcPr>
            <w:tcW w:type="dxa" w:w="2412"/>
          </w:tcPr>
          <w:p>
            <w:pPr>
              <w:spacing w:line="240" w:lineRule="auto" w:after="40"/>
            </w:pPr>
            <w:r>
              <w:rPr>
                <w:rFonts w:ascii="Times New Roman" w:hAnsi="Times New Roman"/>
                <w:sz w:val="18"/>
              </w:rPr>
              <w:t>Evacuation scope and duration change under plausible dose-response shapes</w:t>
            </w:r>
          </w:p>
        </w:tc>
        <w:tc>
          <w:tcPr>
            <w:tcW w:type="dxa" w:w="2412"/>
          </w:tcPr>
          <w:p>
            <w:pPr>
              <w:spacing w:line="240" w:lineRule="auto" w:after="40"/>
            </w:pPr>
            <w:r>
              <w:rPr>
                <w:rFonts w:ascii="Times New Roman" w:hAnsi="Times New Roman"/>
                <w:sz w:val="18"/>
              </w:rPr>
              <w:t>Revenue outlook changes under plausible local slopes and growth paths</w:t>
            </w:r>
          </w:p>
        </w:tc>
        <w:tc>
          <w:tcPr>
            <w:tcW w:type="dxa" w:w="2412"/>
          </w:tcPr>
          <w:p>
            <w:pPr>
              <w:spacing w:line="240" w:lineRule="auto" w:after="40"/>
            </w:pPr>
            <w:r>
              <w:rPr>
                <w:rFonts w:ascii="Times New Roman" w:hAnsi="Times New Roman"/>
                <w:sz w:val="18"/>
              </w:rPr>
              <w:t>In both, plausible alternative shapes imply materially different policies.</w:t>
            </w:r>
          </w:p>
        </w:tc>
      </w:tr>
      <w:tr>
        <w:tc>
          <w:tcPr>
            <w:tcW w:type="dxa" w:w="2412"/>
          </w:tcPr>
          <w:p>
            <w:pPr>
              <w:spacing w:line="240" w:lineRule="auto" w:after="40"/>
            </w:pPr>
            <w:r>
              <w:rPr>
                <w:rFonts w:ascii="Times New Roman" w:hAnsi="Times New Roman"/>
                <w:sz w:val="18"/>
              </w:rPr>
              <w:t>Cost of wrong action</w:t>
            </w:r>
          </w:p>
        </w:tc>
        <w:tc>
          <w:tcPr>
            <w:tcW w:type="dxa" w:w="2412"/>
          </w:tcPr>
          <w:p>
            <w:pPr>
              <w:spacing w:line="240" w:lineRule="auto" w:after="40"/>
            </w:pPr>
            <w:r>
              <w:rPr>
                <w:rFonts w:ascii="Times New Roman" w:hAnsi="Times New Roman"/>
                <w:sz w:val="18"/>
              </w:rPr>
              <w:t>Displacement, mortality risk, care disruption</w:t>
            </w:r>
          </w:p>
        </w:tc>
        <w:tc>
          <w:tcPr>
            <w:tcW w:type="dxa" w:w="2412"/>
          </w:tcPr>
          <w:p>
            <w:pPr>
              <w:spacing w:line="240" w:lineRule="auto" w:after="40"/>
            </w:pPr>
            <w:r>
              <w:rPr>
                <w:rFonts w:ascii="Times New Roman" w:hAnsi="Times New Roman"/>
                <w:sz w:val="18"/>
              </w:rPr>
              <w:t>Revenue loss and service compression</w:t>
            </w:r>
          </w:p>
        </w:tc>
        <w:tc>
          <w:tcPr>
            <w:tcW w:type="dxa" w:w="2412"/>
          </w:tcPr>
          <w:p>
            <w:pPr>
              <w:spacing w:line="240" w:lineRule="auto" w:after="40"/>
            </w:pPr>
            <w:r>
              <w:rPr>
                <w:rFonts w:ascii="Times New Roman" w:hAnsi="Times New Roman"/>
                <w:sz w:val="18"/>
              </w:rPr>
              <w:t>Error costs fall on identifiable groups, not on the model.</w:t>
            </w:r>
          </w:p>
        </w:tc>
      </w:tr>
      <w:tr>
        <w:tc>
          <w:tcPr>
            <w:tcW w:type="dxa" w:w="2412"/>
          </w:tcPr>
          <w:p>
            <w:pPr>
              <w:spacing w:line="240" w:lineRule="auto" w:after="40"/>
            </w:pPr>
            <w:r>
              <w:rPr>
                <w:rFonts w:ascii="Times New Roman" w:hAnsi="Times New Roman"/>
                <w:sz w:val="18"/>
              </w:rPr>
              <w:t>Cost of inaction</w:t>
            </w:r>
          </w:p>
        </w:tc>
        <w:tc>
          <w:tcPr>
            <w:tcW w:type="dxa" w:w="2412"/>
          </w:tcPr>
          <w:p>
            <w:pPr>
              <w:spacing w:line="240" w:lineRule="auto" w:after="40"/>
            </w:pPr>
            <w:r>
              <w:rPr>
                <w:rFonts w:ascii="Times New Roman" w:hAnsi="Times New Roman"/>
                <w:sz w:val="18"/>
              </w:rPr>
              <w:t>Residual radiation exposure</w:t>
            </w:r>
          </w:p>
        </w:tc>
        <w:tc>
          <w:tcPr>
            <w:tcW w:type="dxa" w:w="2412"/>
          </w:tcPr>
          <w:p>
            <w:pPr>
              <w:spacing w:line="240" w:lineRule="auto" w:after="40"/>
            </w:pPr>
            <w:r>
              <w:rPr>
                <w:rFonts w:ascii="Times New Roman" w:hAnsi="Times New Roman"/>
                <w:sz w:val="18"/>
              </w:rPr>
              <w:t>Foregone growth stimulus claim</w:t>
            </w:r>
          </w:p>
        </w:tc>
        <w:tc>
          <w:tcPr>
            <w:tcW w:type="dxa" w:w="2412"/>
          </w:tcPr>
          <w:p>
            <w:pPr>
              <w:spacing w:line="240" w:lineRule="auto" w:after="40"/>
            </w:pPr>
            <w:r>
              <w:rPr>
                <w:rFonts w:ascii="Times New Roman" w:hAnsi="Times New Roman"/>
                <w:sz w:val="18"/>
              </w:rPr>
              <w:t>Asymmetry must be weighed in both directions, not one.</w:t>
            </w:r>
          </w:p>
        </w:tc>
      </w:tr>
      <w:tr>
        <w:tc>
          <w:tcPr>
            <w:tcW w:type="dxa" w:w="2412"/>
          </w:tcPr>
          <w:p>
            <w:pPr>
              <w:spacing w:line="240" w:lineRule="auto" w:after="40"/>
            </w:pPr>
            <w:r>
              <w:rPr>
                <w:rFonts w:ascii="Times New Roman" w:hAnsi="Times New Roman"/>
                <w:sz w:val="18"/>
              </w:rPr>
              <w:t>Consequence asymmetry</w:t>
            </w:r>
          </w:p>
        </w:tc>
        <w:tc>
          <w:tcPr>
            <w:tcW w:type="dxa" w:w="2412"/>
          </w:tcPr>
          <w:p>
            <w:pPr>
              <w:spacing w:line="240" w:lineRule="auto" w:after="40"/>
            </w:pPr>
            <w:r>
              <w:rPr>
                <w:rFonts w:ascii="Times New Roman" w:hAnsi="Times New Roman"/>
                <w:sz w:val="18"/>
              </w:rPr>
              <w:t>Severe on both sides; competing harms</w:t>
            </w:r>
          </w:p>
        </w:tc>
        <w:tc>
          <w:tcPr>
            <w:tcW w:type="dxa" w:w="2412"/>
          </w:tcPr>
          <w:p>
            <w:pPr>
              <w:spacing w:line="240" w:lineRule="auto" w:after="40"/>
            </w:pPr>
            <w:r>
              <w:rPr>
                <w:rFonts w:ascii="Times New Roman" w:hAnsi="Times New Roman"/>
                <w:sz w:val="18"/>
              </w:rPr>
              <w:t>Primarily fiscal; distribution across budgets</w:t>
            </w:r>
          </w:p>
        </w:tc>
        <w:tc>
          <w:tcPr>
            <w:tcW w:type="dxa" w:w="2412"/>
          </w:tcPr>
          <w:p>
            <w:pPr>
              <w:spacing w:line="240" w:lineRule="auto" w:after="40"/>
            </w:pPr>
            <w:r>
              <w:rPr>
                <w:rFonts w:ascii="Times New Roman" w:hAnsi="Times New Roman"/>
                <w:sz w:val="18"/>
              </w:rPr>
              <w:t>Higher asymmetry raises the decision value of shape certainty.</w:t>
            </w:r>
          </w:p>
        </w:tc>
      </w:tr>
      <w:tr>
        <w:tc>
          <w:tcPr>
            <w:tcW w:type="dxa" w:w="2412"/>
          </w:tcPr>
          <w:p>
            <w:pPr>
              <w:spacing w:line="240" w:lineRule="auto" w:after="40"/>
            </w:pPr>
            <w:r>
              <w:rPr>
                <w:rFonts w:ascii="Times New Roman" w:hAnsi="Times New Roman"/>
                <w:sz w:val="18"/>
              </w:rPr>
              <w:t>Reversibility</w:t>
            </w:r>
          </w:p>
        </w:tc>
        <w:tc>
          <w:tcPr>
            <w:tcW w:type="dxa" w:w="2412"/>
          </w:tcPr>
          <w:p>
            <w:pPr>
              <w:spacing w:line="240" w:lineRule="auto" w:after="40"/>
            </w:pPr>
            <w:r>
              <w:rPr>
                <w:rFonts w:ascii="Times New Roman" w:hAnsi="Times New Roman"/>
                <w:sz w:val="18"/>
              </w:rPr>
              <w:t>Limited; displacement and health effects partly irreversible</w:t>
            </w:r>
          </w:p>
        </w:tc>
        <w:tc>
          <w:tcPr>
            <w:tcW w:type="dxa" w:w="2412"/>
          </w:tcPr>
          <w:p>
            <w:pPr>
              <w:spacing w:line="240" w:lineRule="auto" w:after="40"/>
            </w:pPr>
            <w:r>
              <w:rPr>
                <w:rFonts w:ascii="Times New Roman" w:hAnsi="Times New Roman"/>
                <w:sz w:val="18"/>
              </w:rPr>
              <w:t>Comparatively greater; statutes revised in 2017</w:t>
            </w:r>
          </w:p>
        </w:tc>
        <w:tc>
          <w:tcPr>
            <w:tcW w:type="dxa" w:w="2412"/>
          </w:tcPr>
          <w:p>
            <w:pPr>
              <w:spacing w:line="240" w:lineRule="auto" w:after="40"/>
            </w:pPr>
            <w:r>
              <w:rPr>
                <w:rFonts w:ascii="Times New Roman" w:hAnsi="Times New Roman"/>
                <w:sz w:val="18"/>
              </w:rPr>
              <w:t>Reversible settings can substitute adaptive design for ex ante certainty.</w:t>
            </w:r>
          </w:p>
        </w:tc>
      </w:tr>
      <w:tr>
        <w:tc>
          <w:tcPr>
            <w:tcW w:type="dxa" w:w="2412"/>
          </w:tcPr>
          <w:p>
            <w:pPr>
              <w:spacing w:line="240" w:lineRule="auto" w:after="40"/>
            </w:pPr>
            <w:r>
              <w:rPr>
                <w:rFonts w:ascii="Times New Roman" w:hAnsi="Times New Roman"/>
                <w:sz w:val="18"/>
              </w:rPr>
              <w:t>Time to observe outcomes</w:t>
            </w:r>
          </w:p>
        </w:tc>
        <w:tc>
          <w:tcPr>
            <w:tcW w:type="dxa" w:w="2412"/>
          </w:tcPr>
          <w:p>
            <w:pPr>
              <w:spacing w:line="240" w:lineRule="auto" w:after="40"/>
            </w:pPr>
            <w:r>
              <w:rPr>
                <w:rFonts w:ascii="Times New Roman" w:hAnsi="Times New Roman"/>
                <w:sz w:val="18"/>
              </w:rPr>
              <w:t>Years; health endpoints partly latent</w:t>
            </w:r>
          </w:p>
        </w:tc>
        <w:tc>
          <w:tcPr>
            <w:tcW w:type="dxa" w:w="2412"/>
          </w:tcPr>
          <w:p>
            <w:pPr>
              <w:spacing w:line="240" w:lineRule="auto" w:after="40"/>
            </w:pPr>
            <w:r>
              <w:rPr>
                <w:rFonts w:ascii="Times New Roman" w:hAnsi="Times New Roman"/>
                <w:sz w:val="18"/>
              </w:rPr>
              <w:t>Years; fiscal outcomes observable quickly</w:t>
            </w:r>
          </w:p>
        </w:tc>
        <w:tc>
          <w:tcPr>
            <w:tcW w:type="dxa" w:w="2412"/>
          </w:tcPr>
          <w:p>
            <w:pPr>
              <w:spacing w:line="240" w:lineRule="auto" w:after="40"/>
            </w:pPr>
            <w:r>
              <w:rPr>
                <w:rFonts w:ascii="Times New Roman" w:hAnsi="Times New Roman"/>
                <w:sz w:val="18"/>
              </w:rPr>
              <w:t>Observability on policy timescales enables learning architectures.</w:t>
            </w:r>
          </w:p>
        </w:tc>
      </w:tr>
      <w:tr>
        <w:tc>
          <w:tcPr>
            <w:tcW w:type="dxa" w:w="2412"/>
          </w:tcPr>
          <w:p>
            <w:pPr>
              <w:spacing w:line="240" w:lineRule="auto" w:after="40"/>
            </w:pPr>
            <w:r>
              <w:rPr>
                <w:rFonts w:ascii="Times New Roman" w:hAnsi="Times New Roman"/>
                <w:sz w:val="18"/>
              </w:rPr>
              <w:t>Learning opportunity</w:t>
            </w:r>
          </w:p>
        </w:tc>
        <w:tc>
          <w:tcPr>
            <w:tcW w:type="dxa" w:w="2412"/>
          </w:tcPr>
          <w:p>
            <w:pPr>
              <w:spacing w:line="240" w:lineRule="auto" w:after="40"/>
            </w:pPr>
            <w:r>
              <w:rPr>
                <w:rFonts w:ascii="Times New Roman" w:hAnsi="Times New Roman"/>
                <w:sz w:val="18"/>
              </w:rPr>
              <w:t>Zoning, staged return, exemptions possible but hard mid-crisis</w:t>
            </w:r>
          </w:p>
        </w:tc>
        <w:tc>
          <w:tcPr>
            <w:tcW w:type="dxa" w:w="2412"/>
          </w:tcPr>
          <w:p>
            <w:pPr>
              <w:spacing w:line="240" w:lineRule="auto" w:after="40"/>
            </w:pPr>
            <w:r>
              <w:rPr>
                <w:rFonts w:ascii="Times New Roman" w:hAnsi="Times New Roman"/>
                <w:sz w:val="18"/>
              </w:rPr>
              <w:t>Staged cuts, triggers, sunset clauses readily available</w:t>
            </w:r>
          </w:p>
        </w:tc>
        <w:tc>
          <w:tcPr>
            <w:tcW w:type="dxa" w:w="2412"/>
          </w:tcPr>
          <w:p>
            <w:pPr>
              <w:spacing w:line="240" w:lineRule="auto" w:after="40"/>
            </w:pPr>
            <w:r>
              <w:rPr>
                <w:rFonts w:ascii="Times New Roman" w:hAnsi="Times New Roman"/>
                <w:sz w:val="18"/>
              </w:rPr>
              <w:t>Where learning is feasible, adaptive implementation hedges shape uncertainty.</w:t>
            </w:r>
          </w:p>
        </w:tc>
      </w:tr>
      <w:tr>
        <w:tc>
          <w:tcPr>
            <w:tcW w:type="dxa" w:w="2412"/>
          </w:tcPr>
          <w:p>
            <w:pPr>
              <w:spacing w:line="240" w:lineRule="auto" w:after="40"/>
            </w:pPr>
            <w:r>
              <w:rPr>
                <w:rFonts w:ascii="Times New Roman" w:hAnsi="Times New Roman"/>
                <w:sz w:val="18"/>
              </w:rPr>
              <w:t>Preferred decision architecture</w:t>
            </w:r>
          </w:p>
        </w:tc>
        <w:tc>
          <w:tcPr>
            <w:tcW w:type="dxa" w:w="2412"/>
          </w:tcPr>
          <w:p>
            <w:pPr>
              <w:spacing w:line="240" w:lineRule="auto" w:after="40"/>
            </w:pPr>
            <w:r>
              <w:rPr>
                <w:rFonts w:ascii="Times New Roman" w:hAnsi="Times New Roman"/>
                <w:sz w:val="18"/>
              </w:rPr>
              <w:t>Staged, revisable protection with asymmetric-harm safeguards</w:t>
            </w:r>
          </w:p>
        </w:tc>
        <w:tc>
          <w:tcPr>
            <w:tcW w:type="dxa" w:w="2412"/>
          </w:tcPr>
          <w:p>
            <w:pPr>
              <w:spacing w:line="240" w:lineRule="auto" w:after="40"/>
            </w:pPr>
            <w:r>
              <w:rPr>
                <w:rFonts w:ascii="Times New Roman" w:hAnsi="Times New Roman"/>
                <w:sz w:val="18"/>
              </w:rPr>
              <w:t>Staged implementation with triggers and monitoring</w:t>
            </w:r>
          </w:p>
        </w:tc>
        <w:tc>
          <w:tcPr>
            <w:tcW w:type="dxa" w:w="2412"/>
          </w:tcPr>
          <w:p>
            <w:pPr>
              <w:spacing w:line="240" w:lineRule="auto" w:after="40"/>
            </w:pPr>
            <w:r>
              <w:rPr>
                <w:rFonts w:ascii="Times New Roman" w:hAnsi="Times New Roman"/>
                <w:sz w:val="18"/>
              </w:rPr>
              <w:t>Architecture should match the joint uncertainty-consequence-reversibility configuration.</w:t>
            </w:r>
          </w:p>
        </w:tc>
      </w:tr>
    </w:tbl>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2412"/>
        <w:gridCol w:w="2412"/>
        <w:gridCol w:w="2412"/>
        <w:gridCol w:w="2412"/>
      </w:tblGrid>
      <w:tr>
        <w:tc>
          <w:tcPr>
            <w:tcW w:type="dxa" w:w="2412"/>
            <w:tcBorders>
              <w:bottom w:val="single" w:sz="8"/>
            </w:tcBorders>
          </w:tcPr>
          <w:p>
            <w:pPr>
              <w:spacing w:line="240" w:lineRule="auto" w:after="40"/>
            </w:pPr>
            <w:r>
              <w:rPr>
                <w:rFonts w:ascii="Times New Roman" w:hAnsi="Times New Roman"/>
                <w:sz w:val="18"/>
              </w:rPr>
              <w:t>Prefecture</w:t>
            </w:r>
          </w:p>
        </w:tc>
        <w:tc>
          <w:tcPr>
            <w:tcW w:type="dxa" w:w="2412"/>
            <w:tcBorders>
              <w:bottom w:val="single" w:sz="8"/>
            </w:tcBorders>
          </w:tcPr>
          <w:p>
            <w:pPr>
              <w:spacing w:line="240" w:lineRule="auto" w:after="40"/>
            </w:pPr>
            <w:r>
              <w:rPr>
                <w:rFonts w:ascii="Times New Roman" w:hAnsi="Times New Roman"/>
                <w:sz w:val="18"/>
              </w:rPr>
              <w:t>Municipality</w:t>
            </w:r>
          </w:p>
        </w:tc>
        <w:tc>
          <w:tcPr>
            <w:tcW w:type="dxa" w:w="2412"/>
            <w:tcBorders>
              <w:bottom w:val="single" w:sz="8"/>
            </w:tcBorders>
          </w:tcPr>
          <w:p>
            <w:pPr>
              <w:spacing w:line="240" w:lineRule="auto" w:after="40"/>
            </w:pPr>
            <w:r>
              <w:rPr>
                <w:rFonts w:ascii="Times New Roman" w:hAnsi="Times New Roman"/>
                <w:sz w:val="18"/>
              </w:rPr>
              <w:t>Reason</w:t>
            </w:r>
          </w:p>
        </w:tc>
        <w:tc>
          <w:tcPr>
            <w:tcW w:type="dxa" w:w="2412"/>
            <w:tcBorders>
              <w:bottom w:val="single" w:sz="8"/>
            </w:tcBorders>
          </w:tcPr>
          <w:p>
            <w:pPr>
              <w:spacing w:line="240" w:lineRule="auto" w:after="40"/>
            </w:pPr>
            <w:r>
              <w:rPr>
                <w:rFonts w:ascii="Times New Roman" w:hAnsi="Times New Roman"/>
                <w:sz w:val="18"/>
              </w:rPr>
              <w:t>Years missing</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Hachimantai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Oshu</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Takizawa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2005,2006,2007,2008,2009,2010,2011,2012,2013</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Nishiwaga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Iwate</w:t>
            </w:r>
          </w:p>
        </w:tc>
        <w:tc>
          <w:tcPr>
            <w:tcW w:type="dxa" w:w="2412"/>
          </w:tcPr>
          <w:p>
            <w:pPr>
              <w:spacing w:line="240" w:lineRule="auto" w:after="40"/>
            </w:pPr>
            <w:r>
              <w:rPr>
                <w:rFonts w:ascii="Times New Roman" w:hAnsi="Times New Roman"/>
                <w:sz w:val="18"/>
              </w:rPr>
              <w:t>Hirono</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Aoba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Miyagino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Wakabayashi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Taihaku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Izumi Ward, Sendai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Shiogama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2006,2007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Tome</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Kurihara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Higashimatsushima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Osaki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Tomiya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2005,2006,2007,2008,2009,2010,2011,2012,2013,2014,2015,2016</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Shichikashuku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2007,2008,2009,2010,2011,2012,2013,2014,2015,2016,2017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Shichigahama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2007,2008,2009,2010,2011,2012,2013,2014,2015,2016,2017</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Misato</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Miyagi</w:t>
            </w:r>
          </w:p>
        </w:tc>
        <w:tc>
          <w:tcPr>
            <w:tcW w:type="dxa" w:w="2412"/>
          </w:tcPr>
          <w:p>
            <w:pPr>
              <w:spacing w:line="240" w:lineRule="auto" w:after="40"/>
            </w:pPr>
            <w:r>
              <w:rPr>
                <w:rFonts w:ascii="Times New Roman" w:hAnsi="Times New Roman"/>
                <w:sz w:val="18"/>
              </w:rPr>
              <w:t>Minamisanriku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Yamagata</w:t>
            </w:r>
          </w:p>
        </w:tc>
        <w:tc>
          <w:tcPr>
            <w:tcW w:type="dxa" w:w="2412"/>
          </w:tcPr>
          <w:p>
            <w:pPr>
              <w:spacing w:line="240" w:lineRule="auto" w:after="40"/>
            </w:pPr>
            <w:r>
              <w:rPr>
                <w:rFonts w:ascii="Times New Roman" w:hAnsi="Times New Roman"/>
                <w:sz w:val="18"/>
              </w:rPr>
              <w:t>Shonai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Fukushima</w:t>
            </w:r>
          </w:p>
        </w:tc>
        <w:tc>
          <w:tcPr>
            <w:tcW w:type="dxa" w:w="2412"/>
          </w:tcPr>
          <w:p>
            <w:pPr>
              <w:spacing w:line="240" w:lineRule="auto" w:after="40"/>
            </w:pPr>
            <w:r>
              <w:rPr>
                <w:rFonts w:ascii="Times New Roman" w:hAnsi="Times New Roman"/>
                <w:sz w:val="18"/>
              </w:rPr>
              <w:t>Motomiya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Kasumigaura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Sakuragawa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Kamisu</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Namegata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Hokota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Tsukubamirai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w:t>
            </w:r>
          </w:p>
        </w:tc>
      </w:tr>
      <w:tr>
        <w:tc>
          <w:tcPr>
            <w:tcW w:type="dxa" w:w="2412"/>
          </w:tcPr>
          <w:p>
            <w:pPr>
              <w:spacing w:line="240" w:lineRule="auto" w:after="40"/>
            </w:pPr>
            <w:r>
              <w:rPr>
                <w:rFonts w:ascii="Times New Roman" w:hAnsi="Times New Roman"/>
                <w:sz w:val="18"/>
              </w:rPr>
              <w:t>Ibaraki</w:t>
            </w:r>
          </w:p>
        </w:tc>
        <w:tc>
          <w:tcPr>
            <w:tcW w:type="dxa" w:w="2412"/>
          </w:tcPr>
          <w:p>
            <w:pPr>
              <w:spacing w:line="240" w:lineRule="auto" w:after="40"/>
            </w:pPr>
            <w:r>
              <w:rPr>
                <w:rFonts w:ascii="Times New Roman" w:hAnsi="Times New Roman"/>
                <w:sz w:val="18"/>
              </w:rPr>
              <w:t>Omitama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Nasukarasuyama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Shimotsuke</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Tochigi</w:t>
            </w:r>
          </w:p>
        </w:tc>
        <w:tc>
          <w:tcPr>
            <w:tcW w:type="dxa" w:w="2412"/>
          </w:tcPr>
          <w:p>
            <w:pPr>
              <w:spacing w:line="240" w:lineRule="auto" w:after="40"/>
            </w:pPr>
            <w:r>
              <w:rPr>
                <w:rFonts w:ascii="Times New Roman" w:hAnsi="Times New Roman"/>
                <w:sz w:val="18"/>
              </w:rPr>
              <w:t>Nakagawa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Midori</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Higashiazuma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Gunma</w:t>
            </w:r>
          </w:p>
        </w:tc>
        <w:tc>
          <w:tcPr>
            <w:tcW w:type="dxa" w:w="2412"/>
          </w:tcPr>
          <w:p>
            <w:pPr>
              <w:spacing w:line="240" w:lineRule="auto" w:after="40"/>
            </w:pPr>
            <w:r>
              <w:rPr>
                <w:rFonts w:ascii="Times New Roman" w:hAnsi="Times New Roman"/>
                <w:sz w:val="18"/>
              </w:rPr>
              <w:t>Minakami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Kita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Higashi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Chuo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Konan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Akiha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Minami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Nishi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Nishikan Ward, Niigata</w:t>
            </w:r>
          </w:p>
        </w:tc>
        <w:tc>
          <w:tcPr>
            <w:tcW w:type="dxa" w:w="2412"/>
          </w:tcPr>
          <w:p>
            <w:pPr>
              <w:spacing w:line="240" w:lineRule="auto" w:after="40"/>
            </w:pPr>
            <w:r>
              <w:rPr>
                <w:rFonts w:ascii="Times New Roman" w:hAnsi="Times New Roman"/>
                <w:sz w:val="18"/>
              </w:rPr>
              <w:t>Unit not observed under a single code 2005-2019</w:t>
            </w:r>
          </w:p>
        </w:tc>
        <w:tc>
          <w:tcPr>
            <w:tcW w:type="dxa" w:w="2412"/>
          </w:tcPr>
          <w:p>
            <w:pPr>
              <w:spacing w:line="240" w:lineRule="auto" w:after="40"/>
            </w:pPr>
            <w:r>
              <w:rPr>
                <w:rFonts w:ascii="Times New Roman" w:hAnsi="Times New Roman"/>
                <w:sz w:val="18"/>
              </w:rPr>
              <w:t>2005,2006,2007,2008,2009,2010</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Myoko</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Tainai</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Seiro</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2006</w:t>
            </w:r>
          </w:p>
        </w:tc>
      </w:tr>
      <w:tr>
        <w:tc>
          <w:tcPr>
            <w:tcW w:type="dxa" w:w="2412"/>
          </w:tcPr>
          <w:p>
            <w:pPr>
              <w:spacing w:line="240" w:lineRule="auto" w:after="40"/>
            </w:pPr>
            <w:r>
              <w:rPr>
                <w:rFonts w:ascii="Times New Roman" w:hAnsi="Times New Roman"/>
                <w:sz w:val="18"/>
              </w:rPr>
              <w:t>Niigata</w:t>
            </w:r>
          </w:p>
        </w:tc>
        <w:tc>
          <w:tcPr>
            <w:tcW w:type="dxa" w:w="2412"/>
          </w:tcPr>
          <w:p>
            <w:pPr>
              <w:spacing w:line="240" w:lineRule="auto" w:after="40"/>
            </w:pPr>
            <w:r>
              <w:rPr>
                <w:rFonts w:ascii="Times New Roman" w:hAnsi="Times New Roman"/>
                <w:sz w:val="18"/>
              </w:rPr>
              <w:t>Aga</w:t>
            </w:r>
          </w:p>
        </w:tc>
        <w:tc>
          <w:tcPr>
            <w:tcW w:type="dxa" w:w="2412"/>
          </w:tcPr>
          <w:p>
            <w:pPr>
              <w:spacing w:line="240" w:lineRule="auto" w:after="40"/>
            </w:pPr>
            <w:r>
              <w:rPr>
                <w:rFonts w:ascii="Times New Roman" w:hAnsi="Times New Roman"/>
                <w:sz w:val="18"/>
              </w:rPr>
              <w:t>Population missing in at least one year 2005-2019</w:t>
            </w:r>
          </w:p>
        </w:tc>
        <w:tc>
          <w:tcPr>
            <w:tcW w:type="dxa" w:w="2412"/>
          </w:tcPr>
          <w:p>
            <w:pPr>
              <w:spacing w:line="240" w:lineRule="auto" w:after="40"/>
            </w:pPr>
            <w:r>
              <w:rPr>
                <w:rFonts w:ascii="Times New Roman" w:hAnsi="Times New Roman"/>
                <w:sz w:val="18"/>
              </w:rPr>
              <w:t>2005</w:t>
            </w:r>
          </w:p>
        </w:tc>
      </w:tr>
    </w:tbl>
    <w:p>
      <w:pPr>
        <w:pStyle w:val="Caption"/>
      </w:pPr>
      <w:r>
        <w:t>Appendix Table A2. Unit-level Fukushima synthetic-control results for T1 municipalities. Mean gaps cover 2012-2019; permutation p values compare treated and placebo-unit gaps.</w:t>
      </w:r>
    </w:p>
    <w:tbl>
      <w:tblPr>
        <w:tblW w:type="auto" w:w="0"/>
        <w:tblLayout w:type="fixed"/>
        <w:tblLook w:firstColumn="1" w:firstRow="1" w:lastColumn="0" w:lastRow="0" w:noHBand="0" w:noVBand="1" w:val="04A0"/>
        <w:tblBorders>
          <w:top w:val="single" w:sz="8"/>
          <w:left w:val="none"/>
          <w:bottom w:val="single" w:sz="8"/>
          <w:right w:val="none"/>
          <w:insideH w:val="none"/>
          <w:insideV w:val="none"/>
        </w:tblBorders>
      </w:tblPr>
      <w:tblGrid>
        <w:gridCol w:w="1608"/>
        <w:gridCol w:w="1608"/>
        <w:gridCol w:w="1608"/>
        <w:gridCol w:w="1608"/>
        <w:gridCol w:w="1608"/>
        <w:gridCol w:w="1608"/>
      </w:tblGrid>
      <w:tr>
        <w:tc>
          <w:tcPr>
            <w:tcW w:type="dxa" w:w="1608"/>
            <w:tcBorders>
              <w:bottom w:val="single" w:sz="8"/>
            </w:tcBorders>
          </w:tcPr>
          <w:p>
            <w:pPr>
              <w:spacing w:line="240" w:lineRule="auto" w:after="40"/>
            </w:pPr>
            <w:r>
              <w:rPr>
                <w:rFonts w:ascii="Times New Roman" w:hAnsi="Times New Roman"/>
                <w:sz w:val="18"/>
              </w:rPr>
              <w:t>Municipality</w:t>
            </w:r>
          </w:p>
        </w:tc>
        <w:tc>
          <w:tcPr>
            <w:tcW w:type="dxa" w:w="1608"/>
            <w:tcBorders>
              <w:bottom w:val="single" w:sz="8"/>
            </w:tcBorders>
          </w:tcPr>
          <w:p>
            <w:pPr>
              <w:spacing w:line="240" w:lineRule="auto" w:after="40"/>
            </w:pPr>
            <w:r>
              <w:rPr>
                <w:rFonts w:ascii="Times New Roman" w:hAnsi="Times New Roman"/>
                <w:sz w:val="18"/>
              </w:rPr>
              <w:t>Donors</w:t>
            </w:r>
          </w:p>
        </w:tc>
        <w:tc>
          <w:tcPr>
            <w:tcW w:type="dxa" w:w="1608"/>
            <w:tcBorders>
              <w:bottom w:val="single" w:sz="8"/>
            </w:tcBorders>
          </w:tcPr>
          <w:p>
            <w:pPr>
              <w:spacing w:line="240" w:lineRule="auto" w:after="40"/>
            </w:pPr>
            <w:r>
              <w:rPr>
                <w:rFonts w:ascii="Times New Roman" w:hAnsi="Times New Roman"/>
                <w:sz w:val="18"/>
              </w:rPr>
              <w:t>Pre-RMSPE</w:t>
            </w:r>
          </w:p>
        </w:tc>
        <w:tc>
          <w:tcPr>
            <w:tcW w:type="dxa" w:w="1608"/>
            <w:tcBorders>
              <w:bottom w:val="single" w:sz="8"/>
            </w:tcBorders>
          </w:tcPr>
          <w:p>
            <w:pPr>
              <w:spacing w:line="240" w:lineRule="auto" w:after="40"/>
            </w:pPr>
            <w:r>
              <w:rPr>
                <w:rFonts w:ascii="Times New Roman" w:hAnsi="Times New Roman"/>
                <w:sz w:val="18"/>
              </w:rPr>
              <w:t>Post-RMSPE</w:t>
            </w:r>
          </w:p>
        </w:tc>
        <w:tc>
          <w:tcPr>
            <w:tcW w:type="dxa" w:w="1608"/>
            <w:tcBorders>
              <w:bottom w:val="single" w:sz="8"/>
            </w:tcBorders>
          </w:tcPr>
          <w:p>
            <w:pPr>
              <w:spacing w:line="240" w:lineRule="auto" w:after="40"/>
            </w:pPr>
            <w:r>
              <w:rPr>
                <w:rFonts w:ascii="Times New Roman" w:hAnsi="Times New Roman"/>
                <w:sz w:val="18"/>
              </w:rPr>
              <w:t>Mean gap 2012-2019</w:t>
            </w:r>
          </w:p>
        </w:tc>
        <w:tc>
          <w:tcPr>
            <w:tcW w:type="dxa" w:w="1608"/>
            <w:tcBorders>
              <w:bottom w:val="single" w:sz="8"/>
            </w:tcBorders>
          </w:tcPr>
          <w:p>
            <w:pPr>
              <w:spacing w:line="240" w:lineRule="auto" w:after="40"/>
            </w:pPr>
            <w:r>
              <w:rPr>
                <w:rFonts w:ascii="Times New Roman" w:hAnsi="Times New Roman"/>
                <w:sz w:val="18"/>
              </w:rPr>
              <w:t>Permutation p</w:t>
            </w:r>
          </w:p>
        </w:tc>
      </w:tr>
      <w:tr>
        <w:tc>
          <w:tcPr>
            <w:tcW w:type="dxa" w:w="1608"/>
          </w:tcPr>
          <w:p>
            <w:pPr>
              <w:spacing w:line="240" w:lineRule="auto" w:after="40"/>
            </w:pPr>
            <w:r>
              <w:rPr>
                <w:rFonts w:ascii="Times New Roman" w:hAnsi="Times New Roman"/>
                <w:sz w:val="18"/>
              </w:rPr>
              <w:t>Minamisoma</w:t>
            </w:r>
          </w:p>
        </w:tc>
        <w:tc>
          <w:tcPr>
            <w:tcW w:type="dxa" w:w="1608"/>
          </w:tcPr>
          <w:p>
            <w:pPr>
              <w:spacing w:line="240" w:lineRule="auto" w:after="40"/>
            </w:pPr>
            <w:r>
              <w:rPr>
                <w:rFonts w:ascii="Times New Roman" w:hAnsi="Times New Roman"/>
                <w:sz w:val="18"/>
              </w:rPr>
              <w:t>7</w:t>
            </w:r>
          </w:p>
        </w:tc>
        <w:tc>
          <w:tcPr>
            <w:tcW w:type="dxa" w:w="1608"/>
          </w:tcPr>
          <w:p>
            <w:pPr>
              <w:spacing w:line="240" w:lineRule="auto" w:after="40"/>
            </w:pPr>
            <w:r>
              <w:rPr>
                <w:rFonts w:ascii="Times New Roman" w:hAnsi="Times New Roman"/>
                <w:sz w:val="18"/>
              </w:rPr>
              <w:t>0.029</w:t>
            </w:r>
          </w:p>
        </w:tc>
        <w:tc>
          <w:tcPr>
            <w:tcW w:type="dxa" w:w="1608"/>
          </w:tcPr>
          <w:p>
            <w:pPr>
              <w:spacing w:line="240" w:lineRule="auto" w:after="40"/>
            </w:pPr>
            <w:r>
              <w:rPr>
                <w:rFonts w:ascii="Times New Roman" w:hAnsi="Times New Roman"/>
                <w:sz w:val="18"/>
              </w:rPr>
              <w:t>0.184</w:t>
            </w:r>
          </w:p>
        </w:tc>
        <w:tc>
          <w:tcPr>
            <w:tcW w:type="dxa" w:w="1608"/>
          </w:tcPr>
          <w:p>
            <w:pPr>
              <w:spacing w:line="240" w:lineRule="auto" w:after="40"/>
            </w:pPr>
            <w:r>
              <w:rPr>
                <w:rFonts w:ascii="Times New Roman" w:hAnsi="Times New Roman"/>
                <w:sz w:val="18"/>
              </w:rPr>
              <w:t>-0.011</w:t>
            </w:r>
          </w:p>
        </w:tc>
        <w:tc>
          <w:tcPr>
            <w:tcW w:type="dxa" w:w="1608"/>
          </w:tcPr>
          <w:p>
            <w:pPr>
              <w:spacing w:line="240" w:lineRule="auto" w:after="40"/>
            </w:pPr>
            <w:r>
              <w:rPr>
                <w:rFonts w:ascii="Times New Roman" w:hAnsi="Times New Roman"/>
                <w:sz w:val="18"/>
              </w:rPr>
              <w:t>0.25</w:t>
            </w:r>
          </w:p>
        </w:tc>
      </w:tr>
      <w:tr>
        <w:tc>
          <w:tcPr>
            <w:tcW w:type="dxa" w:w="1608"/>
          </w:tcPr>
          <w:p>
            <w:pPr>
              <w:spacing w:line="240" w:lineRule="auto" w:after="40"/>
            </w:pPr>
            <w:r>
              <w:rPr>
                <w:rFonts w:ascii="Times New Roman" w:hAnsi="Times New Roman"/>
                <w:sz w:val="18"/>
              </w:rPr>
              <w:t>Kawamata</w:t>
            </w:r>
          </w:p>
        </w:tc>
        <w:tc>
          <w:tcPr>
            <w:tcW w:type="dxa" w:w="1608"/>
          </w:tcPr>
          <w:p>
            <w:pPr>
              <w:spacing w:line="240" w:lineRule="auto" w:after="40"/>
            </w:pPr>
            <w:r>
              <w:rPr>
                <w:rFonts w:ascii="Times New Roman" w:hAnsi="Times New Roman"/>
                <w:sz w:val="18"/>
              </w:rPr>
              <w:t>23</w:t>
            </w:r>
          </w:p>
        </w:tc>
        <w:tc>
          <w:tcPr>
            <w:tcW w:type="dxa" w:w="1608"/>
          </w:tcPr>
          <w:p>
            <w:pPr>
              <w:spacing w:line="240" w:lineRule="auto" w:after="40"/>
            </w:pPr>
            <w:r>
              <w:rPr>
                <w:rFonts w:ascii="Times New Roman" w:hAnsi="Times New Roman"/>
                <w:sz w:val="18"/>
              </w:rPr>
              <w:t>0.01</w:t>
            </w:r>
          </w:p>
        </w:tc>
        <w:tc>
          <w:tcPr>
            <w:tcW w:type="dxa" w:w="1608"/>
          </w:tcPr>
          <w:p>
            <w:pPr>
              <w:spacing w:line="240" w:lineRule="auto" w:after="40"/>
            </w:pPr>
            <w:r>
              <w:rPr>
                <w:rFonts w:ascii="Times New Roman" w:hAnsi="Times New Roman"/>
                <w:sz w:val="18"/>
              </w:rPr>
              <w:t>0.082</w:t>
            </w:r>
          </w:p>
        </w:tc>
        <w:tc>
          <w:tcPr>
            <w:tcW w:type="dxa" w:w="1608"/>
          </w:tcPr>
          <w:p>
            <w:pPr>
              <w:spacing w:line="240" w:lineRule="auto" w:after="40"/>
            </w:pPr>
            <w:r>
              <w:rPr>
                <w:rFonts w:ascii="Times New Roman" w:hAnsi="Times New Roman"/>
                <w:sz w:val="18"/>
              </w:rPr>
              <w:t>0.055</w:t>
            </w:r>
          </w:p>
        </w:tc>
        <w:tc>
          <w:tcPr>
            <w:tcW w:type="dxa" w:w="1608"/>
          </w:tcPr>
          <w:p>
            <w:pPr>
              <w:spacing w:line="240" w:lineRule="auto" w:after="40"/>
            </w:pPr>
            <w:r>
              <w:rPr>
                <w:rFonts w:ascii="Times New Roman" w:hAnsi="Times New Roman"/>
                <w:sz w:val="18"/>
              </w:rPr>
              <w:t>0.333</w:t>
            </w:r>
          </w:p>
        </w:tc>
      </w:tr>
      <w:tr>
        <w:tc>
          <w:tcPr>
            <w:tcW w:type="dxa" w:w="1608"/>
          </w:tcPr>
          <w:p>
            <w:pPr>
              <w:spacing w:line="240" w:lineRule="auto" w:after="40"/>
            </w:pPr>
            <w:r>
              <w:rPr>
                <w:rFonts w:ascii="Times New Roman" w:hAnsi="Times New Roman"/>
                <w:sz w:val="18"/>
              </w:rPr>
              <w:t>Naraha</w:t>
            </w:r>
          </w:p>
        </w:tc>
        <w:tc>
          <w:tcPr>
            <w:tcW w:type="dxa" w:w="1608"/>
          </w:tcPr>
          <w:p>
            <w:pPr>
              <w:spacing w:line="240" w:lineRule="auto" w:after="40"/>
            </w:pPr>
            <w:r>
              <w:rPr>
                <w:rFonts w:ascii="Times New Roman" w:hAnsi="Times New Roman"/>
                <w:sz w:val="18"/>
              </w:rPr>
              <w:t>20</w:t>
            </w:r>
          </w:p>
        </w:tc>
        <w:tc>
          <w:tcPr>
            <w:tcW w:type="dxa" w:w="1608"/>
          </w:tcPr>
          <w:p>
            <w:pPr>
              <w:spacing w:line="240" w:lineRule="auto" w:after="40"/>
            </w:pPr>
            <w:r>
              <w:rPr>
                <w:rFonts w:ascii="Times New Roman" w:hAnsi="Times New Roman"/>
                <w:sz w:val="18"/>
              </w:rPr>
              <w:t>0.088</w:t>
            </w:r>
          </w:p>
        </w:tc>
        <w:tc>
          <w:tcPr>
            <w:tcW w:type="dxa" w:w="1608"/>
          </w:tcPr>
          <w:p>
            <w:pPr>
              <w:spacing w:line="240" w:lineRule="auto" w:after="40"/>
            </w:pPr>
            <w:r>
              <w:rPr>
                <w:rFonts w:ascii="Times New Roman" w:hAnsi="Times New Roman"/>
                <w:sz w:val="18"/>
              </w:rPr>
              <w:t>0.204</w:t>
            </w:r>
          </w:p>
        </w:tc>
        <w:tc>
          <w:tcPr>
            <w:tcW w:type="dxa" w:w="1608"/>
          </w:tcPr>
          <w:p>
            <w:pPr>
              <w:spacing w:line="240" w:lineRule="auto" w:after="40"/>
            </w:pPr>
            <w:r>
              <w:rPr>
                <w:rFonts w:ascii="Times New Roman" w:hAnsi="Times New Roman"/>
                <w:sz w:val="18"/>
              </w:rPr>
              <w:t>-0.128</w:t>
            </w:r>
          </w:p>
        </w:tc>
        <w:tc>
          <w:tcPr>
            <w:tcW w:type="dxa" w:w="1608"/>
          </w:tcPr>
          <w:p>
            <w:pPr>
              <w:spacing w:line="240" w:lineRule="auto" w:after="40"/>
            </w:pPr>
            <w:r>
              <w:rPr>
                <w:rFonts w:ascii="Times New Roman" w:hAnsi="Times New Roman"/>
                <w:sz w:val="18"/>
              </w:rPr>
              <w:t>0.714</w:t>
            </w:r>
          </w:p>
        </w:tc>
      </w:tr>
      <w:tr>
        <w:tc>
          <w:tcPr>
            <w:tcW w:type="dxa" w:w="1608"/>
          </w:tcPr>
          <w:p>
            <w:pPr>
              <w:spacing w:line="240" w:lineRule="auto" w:after="40"/>
            </w:pPr>
            <w:r>
              <w:rPr>
                <w:rFonts w:ascii="Times New Roman" w:hAnsi="Times New Roman"/>
                <w:sz w:val="18"/>
              </w:rPr>
              <w:t>Tomioka</w:t>
            </w:r>
          </w:p>
        </w:tc>
        <w:tc>
          <w:tcPr>
            <w:tcW w:type="dxa" w:w="1608"/>
          </w:tcPr>
          <w:p>
            <w:pPr>
              <w:spacing w:line="240" w:lineRule="auto" w:after="40"/>
            </w:pPr>
            <w:r>
              <w:rPr>
                <w:rFonts w:ascii="Times New Roman" w:hAnsi="Times New Roman"/>
                <w:sz w:val="18"/>
              </w:rPr>
              <w:t>13</w:t>
            </w:r>
          </w:p>
        </w:tc>
        <w:tc>
          <w:tcPr>
            <w:tcW w:type="dxa" w:w="1608"/>
          </w:tcPr>
          <w:p>
            <w:pPr>
              <w:spacing w:line="240" w:lineRule="auto" w:after="40"/>
            </w:pPr>
            <w:r>
              <w:rPr>
                <w:rFonts w:ascii="Times New Roman" w:hAnsi="Times New Roman"/>
                <w:sz w:val="18"/>
              </w:rPr>
              <w:t>0.059</w:t>
            </w:r>
          </w:p>
        </w:tc>
        <w:tc>
          <w:tcPr>
            <w:tcW w:type="dxa" w:w="1608"/>
          </w:tcPr>
          <w:p>
            <w:pPr>
              <w:spacing w:line="240" w:lineRule="auto" w:after="40"/>
            </w:pPr>
            <w:r>
              <w:rPr>
                <w:rFonts w:ascii="Times New Roman" w:hAnsi="Times New Roman"/>
                <w:sz w:val="18"/>
              </w:rPr>
              <w:t>0.164</w:t>
            </w:r>
          </w:p>
        </w:tc>
        <w:tc>
          <w:tcPr>
            <w:tcW w:type="dxa" w:w="1608"/>
          </w:tcPr>
          <w:p>
            <w:pPr>
              <w:spacing w:line="240" w:lineRule="auto" w:after="40"/>
            </w:pPr>
            <w:r>
              <w:rPr>
                <w:rFonts w:ascii="Times New Roman" w:hAnsi="Times New Roman"/>
                <w:sz w:val="18"/>
              </w:rPr>
              <w:t>-0.152</w:t>
            </w:r>
          </w:p>
        </w:tc>
        <w:tc>
          <w:tcPr>
            <w:tcW w:type="dxa" w:w="1608"/>
          </w:tcPr>
          <w:p>
            <w:pPr>
              <w:spacing w:line="240" w:lineRule="auto" w:after="40"/>
            </w:pPr>
            <w:r>
              <w:rPr>
                <w:rFonts w:ascii="Times New Roman" w:hAnsi="Times New Roman"/>
                <w:sz w:val="18"/>
              </w:rPr>
              <w:t>0.5</w:t>
            </w:r>
          </w:p>
        </w:tc>
      </w:tr>
      <w:tr>
        <w:tc>
          <w:tcPr>
            <w:tcW w:type="dxa" w:w="1608"/>
          </w:tcPr>
          <w:p>
            <w:pPr>
              <w:spacing w:line="240" w:lineRule="auto" w:after="40"/>
            </w:pPr>
            <w:r>
              <w:rPr>
                <w:rFonts w:ascii="Times New Roman" w:hAnsi="Times New Roman"/>
                <w:sz w:val="18"/>
              </w:rPr>
              <w:t>Kawauchi</w:t>
            </w:r>
          </w:p>
        </w:tc>
        <w:tc>
          <w:tcPr>
            <w:tcW w:type="dxa" w:w="1608"/>
          </w:tcPr>
          <w:p>
            <w:pPr>
              <w:spacing w:line="240" w:lineRule="auto" w:after="40"/>
            </w:pPr>
            <w:r>
              <w:rPr>
                <w:rFonts w:ascii="Times New Roman" w:hAnsi="Times New Roman"/>
                <w:sz w:val="18"/>
              </w:rPr>
              <w:t>13</w:t>
            </w:r>
          </w:p>
        </w:tc>
        <w:tc>
          <w:tcPr>
            <w:tcW w:type="dxa" w:w="1608"/>
          </w:tcPr>
          <w:p>
            <w:pPr>
              <w:spacing w:line="240" w:lineRule="auto" w:after="40"/>
            </w:pPr>
            <w:r>
              <w:rPr>
                <w:rFonts w:ascii="Times New Roman" w:hAnsi="Times New Roman"/>
                <w:sz w:val="18"/>
              </w:rPr>
              <w:t>0.044</w:t>
            </w:r>
          </w:p>
        </w:tc>
        <w:tc>
          <w:tcPr>
            <w:tcW w:type="dxa" w:w="1608"/>
          </w:tcPr>
          <w:p>
            <w:pPr>
              <w:spacing w:line="240" w:lineRule="auto" w:after="40"/>
            </w:pPr>
            <w:r>
              <w:rPr>
                <w:rFonts w:ascii="Times New Roman" w:hAnsi="Times New Roman"/>
                <w:sz w:val="18"/>
              </w:rPr>
              <w:t>0.148</w:t>
            </w:r>
          </w:p>
        </w:tc>
        <w:tc>
          <w:tcPr>
            <w:tcW w:type="dxa" w:w="1608"/>
          </w:tcPr>
          <w:p>
            <w:pPr>
              <w:spacing w:line="240" w:lineRule="auto" w:after="40"/>
            </w:pPr>
            <w:r>
              <w:rPr>
                <w:rFonts w:ascii="Times New Roman" w:hAnsi="Times New Roman"/>
                <w:sz w:val="18"/>
              </w:rPr>
              <w:t>0.083</w:t>
            </w:r>
          </w:p>
        </w:tc>
        <w:tc>
          <w:tcPr>
            <w:tcW w:type="dxa" w:w="1608"/>
          </w:tcPr>
          <w:p>
            <w:pPr>
              <w:spacing w:line="240" w:lineRule="auto" w:after="40"/>
            </w:pPr>
            <w:r>
              <w:rPr>
                <w:rFonts w:ascii="Times New Roman" w:hAnsi="Times New Roman"/>
                <w:sz w:val="18"/>
              </w:rPr>
              <w:t>0.5</w:t>
            </w:r>
          </w:p>
        </w:tc>
      </w:tr>
      <w:tr>
        <w:tc>
          <w:tcPr>
            <w:tcW w:type="dxa" w:w="1608"/>
          </w:tcPr>
          <w:p>
            <w:pPr>
              <w:spacing w:line="240" w:lineRule="auto" w:after="40"/>
            </w:pPr>
            <w:r>
              <w:rPr>
                <w:rFonts w:ascii="Times New Roman" w:hAnsi="Times New Roman"/>
                <w:sz w:val="18"/>
              </w:rPr>
              <w:t>Okuma</w:t>
            </w:r>
          </w:p>
        </w:tc>
        <w:tc>
          <w:tcPr>
            <w:tcW w:type="dxa" w:w="1608"/>
          </w:tcPr>
          <w:p>
            <w:pPr>
              <w:spacing w:line="240" w:lineRule="auto" w:after="40"/>
            </w:pPr>
            <w:r>
              <w:rPr>
                <w:rFonts w:ascii="Times New Roman" w:hAnsi="Times New Roman"/>
                <w:sz w:val="18"/>
              </w:rPr>
              <w:t>15</w:t>
            </w:r>
          </w:p>
        </w:tc>
        <w:tc>
          <w:tcPr>
            <w:tcW w:type="dxa" w:w="1608"/>
          </w:tcPr>
          <w:p>
            <w:pPr>
              <w:spacing w:line="240" w:lineRule="auto" w:after="40"/>
            </w:pPr>
            <w:r>
              <w:rPr>
                <w:rFonts w:ascii="Times New Roman" w:hAnsi="Times New Roman"/>
                <w:sz w:val="18"/>
              </w:rPr>
              <w:t>0.144</w:t>
            </w:r>
          </w:p>
        </w:tc>
        <w:tc>
          <w:tcPr>
            <w:tcW w:type="dxa" w:w="1608"/>
          </w:tcPr>
          <w:p>
            <w:pPr>
              <w:spacing w:line="240" w:lineRule="auto" w:after="40"/>
            </w:pPr>
            <w:r>
              <w:rPr>
                <w:rFonts w:ascii="Times New Roman" w:hAnsi="Times New Roman"/>
                <w:sz w:val="18"/>
              </w:rPr>
              <w:t>0.304</w:t>
            </w:r>
          </w:p>
        </w:tc>
        <w:tc>
          <w:tcPr>
            <w:tcW w:type="dxa" w:w="1608"/>
          </w:tcPr>
          <w:p>
            <w:pPr>
              <w:spacing w:line="240" w:lineRule="auto" w:after="40"/>
            </w:pPr>
            <w:r>
              <w:rPr>
                <w:rFonts w:ascii="Times New Roman" w:hAnsi="Times New Roman"/>
                <w:sz w:val="18"/>
              </w:rPr>
              <w:t>-0.268</w:t>
            </w:r>
          </w:p>
        </w:tc>
        <w:tc>
          <w:tcPr>
            <w:tcW w:type="dxa" w:w="1608"/>
          </w:tcPr>
          <w:p>
            <w:pPr>
              <w:spacing w:line="240" w:lineRule="auto" w:after="40"/>
            </w:pPr>
            <w:r>
              <w:rPr>
                <w:rFonts w:ascii="Times New Roman" w:hAnsi="Times New Roman"/>
                <w:sz w:val="18"/>
              </w:rPr>
              <w:t>0.562</w:t>
            </w:r>
          </w:p>
        </w:tc>
      </w:tr>
      <w:tr>
        <w:tc>
          <w:tcPr>
            <w:tcW w:type="dxa" w:w="1608"/>
          </w:tcPr>
          <w:p>
            <w:pPr>
              <w:spacing w:line="240" w:lineRule="auto" w:after="40"/>
            </w:pPr>
            <w:r>
              <w:rPr>
                <w:rFonts w:ascii="Times New Roman" w:hAnsi="Times New Roman"/>
                <w:sz w:val="18"/>
              </w:rPr>
              <w:t>Futaba</w:t>
            </w:r>
          </w:p>
        </w:tc>
        <w:tc>
          <w:tcPr>
            <w:tcW w:type="dxa" w:w="1608"/>
          </w:tcPr>
          <w:p>
            <w:pPr>
              <w:spacing w:line="240" w:lineRule="auto" w:after="40"/>
            </w:pPr>
            <w:r>
              <w:rPr>
                <w:rFonts w:ascii="Times New Roman" w:hAnsi="Times New Roman"/>
                <w:sz w:val="18"/>
              </w:rPr>
              <w:t>20</w:t>
            </w:r>
          </w:p>
        </w:tc>
        <w:tc>
          <w:tcPr>
            <w:tcW w:type="dxa" w:w="1608"/>
          </w:tcPr>
          <w:p>
            <w:pPr>
              <w:spacing w:line="240" w:lineRule="auto" w:after="40"/>
            </w:pPr>
            <w:r>
              <w:rPr>
                <w:rFonts w:ascii="Times New Roman" w:hAnsi="Times New Roman"/>
                <w:sz w:val="18"/>
              </w:rPr>
              <w:t>0.049</w:t>
            </w:r>
          </w:p>
        </w:tc>
        <w:tc>
          <w:tcPr>
            <w:tcW w:type="dxa" w:w="1608"/>
          </w:tcPr>
          <w:p>
            <w:pPr>
              <w:spacing w:line="240" w:lineRule="auto" w:after="40"/>
            </w:pPr>
            <w:r>
              <w:rPr>
                <w:rFonts w:ascii="Times New Roman" w:hAnsi="Times New Roman"/>
                <w:sz w:val="18"/>
              </w:rPr>
              <w:t>0.257</w:t>
            </w:r>
          </w:p>
        </w:tc>
        <w:tc>
          <w:tcPr>
            <w:tcW w:type="dxa" w:w="1608"/>
          </w:tcPr>
          <w:p>
            <w:pPr>
              <w:spacing w:line="240" w:lineRule="auto" w:after="40"/>
            </w:pPr>
            <w:r>
              <w:rPr>
                <w:rFonts w:ascii="Times New Roman" w:hAnsi="Times New Roman"/>
                <w:sz w:val="18"/>
              </w:rPr>
              <w:t>-0.191</w:t>
            </w:r>
          </w:p>
        </w:tc>
        <w:tc>
          <w:tcPr>
            <w:tcW w:type="dxa" w:w="1608"/>
          </w:tcPr>
          <w:p>
            <w:pPr>
              <w:spacing w:line="240" w:lineRule="auto" w:after="40"/>
            </w:pPr>
            <w:r>
              <w:rPr>
                <w:rFonts w:ascii="Times New Roman" w:hAnsi="Times New Roman"/>
                <w:sz w:val="18"/>
              </w:rPr>
              <w:t>0.286</w:t>
            </w:r>
          </w:p>
        </w:tc>
      </w:tr>
      <w:tr>
        <w:tc>
          <w:tcPr>
            <w:tcW w:type="dxa" w:w="1608"/>
          </w:tcPr>
          <w:p>
            <w:pPr>
              <w:spacing w:line="240" w:lineRule="auto" w:after="40"/>
            </w:pPr>
            <w:r>
              <w:rPr>
                <w:rFonts w:ascii="Times New Roman" w:hAnsi="Times New Roman"/>
                <w:sz w:val="18"/>
              </w:rPr>
              <w:t>Namie</w:t>
            </w:r>
          </w:p>
        </w:tc>
        <w:tc>
          <w:tcPr>
            <w:tcW w:type="dxa" w:w="1608"/>
          </w:tcPr>
          <w:p>
            <w:pPr>
              <w:spacing w:line="240" w:lineRule="auto" w:after="40"/>
            </w:pPr>
            <w:r>
              <w:rPr>
                <w:rFonts w:ascii="Times New Roman" w:hAnsi="Times New Roman"/>
                <w:sz w:val="18"/>
              </w:rPr>
              <w:t>18</w:t>
            </w:r>
          </w:p>
        </w:tc>
        <w:tc>
          <w:tcPr>
            <w:tcW w:type="dxa" w:w="1608"/>
          </w:tcPr>
          <w:p>
            <w:pPr>
              <w:spacing w:line="240" w:lineRule="auto" w:after="40"/>
            </w:pPr>
            <w:r>
              <w:rPr>
                <w:rFonts w:ascii="Times New Roman" w:hAnsi="Times New Roman"/>
                <w:sz w:val="18"/>
              </w:rPr>
              <w:t>0.004</w:t>
            </w:r>
          </w:p>
        </w:tc>
        <w:tc>
          <w:tcPr>
            <w:tcW w:type="dxa" w:w="1608"/>
          </w:tcPr>
          <w:p>
            <w:pPr>
              <w:spacing w:line="240" w:lineRule="auto" w:after="40"/>
            </w:pPr>
            <w:r>
              <w:rPr>
                <w:rFonts w:ascii="Times New Roman" w:hAnsi="Times New Roman"/>
                <w:sz w:val="18"/>
              </w:rPr>
              <w:t>0.18</w:t>
            </w:r>
          </w:p>
        </w:tc>
        <w:tc>
          <w:tcPr>
            <w:tcW w:type="dxa" w:w="1608"/>
          </w:tcPr>
          <w:p>
            <w:pPr>
              <w:spacing w:line="240" w:lineRule="auto" w:after="40"/>
            </w:pPr>
            <w:r>
              <w:rPr>
                <w:rFonts w:ascii="Times New Roman" w:hAnsi="Times New Roman"/>
                <w:sz w:val="18"/>
              </w:rPr>
              <w:t>-0.098</w:t>
            </w:r>
          </w:p>
        </w:tc>
        <w:tc>
          <w:tcPr>
            <w:tcW w:type="dxa" w:w="1608"/>
          </w:tcPr>
          <w:p>
            <w:pPr>
              <w:spacing w:line="240" w:lineRule="auto" w:after="40"/>
            </w:pPr>
            <w:r>
              <w:rPr>
                <w:rFonts w:ascii="Times New Roman" w:hAnsi="Times New Roman"/>
                <w:sz w:val="18"/>
              </w:rPr>
              <w:t>0.263</w:t>
            </w:r>
          </w:p>
        </w:tc>
      </w:tr>
      <w:tr>
        <w:tc>
          <w:tcPr>
            <w:tcW w:type="dxa" w:w="1608"/>
          </w:tcPr>
          <w:p>
            <w:pPr>
              <w:spacing w:line="240" w:lineRule="auto" w:after="40"/>
            </w:pPr>
            <w:r>
              <w:rPr>
                <w:rFonts w:ascii="Times New Roman" w:hAnsi="Times New Roman"/>
                <w:sz w:val="18"/>
              </w:rPr>
              <w:t>Katsurao</w:t>
            </w:r>
          </w:p>
        </w:tc>
        <w:tc>
          <w:tcPr>
            <w:tcW w:type="dxa" w:w="1608"/>
          </w:tcPr>
          <w:p>
            <w:pPr>
              <w:spacing w:line="240" w:lineRule="auto" w:after="40"/>
            </w:pPr>
            <w:r>
              <w:rPr>
                <w:rFonts w:ascii="Times New Roman" w:hAnsi="Times New Roman"/>
                <w:sz w:val="18"/>
              </w:rPr>
              <w:t>5</w:t>
            </w:r>
          </w:p>
        </w:tc>
        <w:tc>
          <w:tcPr>
            <w:tcW w:type="dxa" w:w="1608"/>
          </w:tcPr>
          <w:p>
            <w:pPr>
              <w:spacing w:line="240" w:lineRule="auto" w:after="40"/>
            </w:pPr>
            <w:r>
              <w:rPr>
                <w:rFonts w:ascii="Times New Roman" w:hAnsi="Times New Roman"/>
                <w:sz w:val="18"/>
              </w:rPr>
              <w:t>0.183</w:t>
            </w:r>
          </w:p>
        </w:tc>
        <w:tc>
          <w:tcPr>
            <w:tcW w:type="dxa" w:w="1608"/>
          </w:tcPr>
          <w:p>
            <w:pPr>
              <w:spacing w:line="240" w:lineRule="auto" w:after="40"/>
            </w:pPr>
            <w:r>
              <w:rPr>
                <w:rFonts w:ascii="Times New Roman" w:hAnsi="Times New Roman"/>
                <w:sz w:val="18"/>
              </w:rPr>
              <w:t>0.249</w:t>
            </w:r>
          </w:p>
        </w:tc>
        <w:tc>
          <w:tcPr>
            <w:tcW w:type="dxa" w:w="1608"/>
          </w:tcPr>
          <w:p>
            <w:pPr>
              <w:spacing w:line="240" w:lineRule="auto" w:after="40"/>
            </w:pPr>
            <w:r>
              <w:rPr>
                <w:rFonts w:ascii="Times New Roman" w:hAnsi="Times New Roman"/>
                <w:sz w:val="18"/>
              </w:rPr>
              <w:t>-0.137</w:t>
            </w:r>
          </w:p>
        </w:tc>
        <w:tc>
          <w:tcPr>
            <w:tcW w:type="dxa" w:w="1608"/>
          </w:tcPr>
          <w:p>
            <w:pPr>
              <w:spacing w:line="240" w:lineRule="auto" w:after="40"/>
            </w:pPr>
            <w:r>
              <w:rPr>
                <w:rFonts w:ascii="Times New Roman" w:hAnsi="Times New Roman"/>
                <w:sz w:val="18"/>
              </w:rPr>
              <w:t>0.833</w:t>
            </w:r>
          </w:p>
        </w:tc>
      </w:tr>
      <w:tr>
        <w:tc>
          <w:tcPr>
            <w:tcW w:type="dxa" w:w="1608"/>
          </w:tcPr>
          <w:p>
            <w:pPr>
              <w:spacing w:line="240" w:lineRule="auto" w:after="40"/>
            </w:pPr>
            <w:r>
              <w:rPr>
                <w:rFonts w:ascii="Times New Roman" w:hAnsi="Times New Roman"/>
                <w:sz w:val="18"/>
              </w:rPr>
              <w:t>Iitate</w:t>
            </w:r>
          </w:p>
        </w:tc>
        <w:tc>
          <w:tcPr>
            <w:tcW w:type="dxa" w:w="1608"/>
          </w:tcPr>
          <w:p>
            <w:pPr>
              <w:spacing w:line="240" w:lineRule="auto" w:after="40"/>
            </w:pPr>
            <w:r>
              <w:rPr>
                <w:rFonts w:ascii="Times New Roman" w:hAnsi="Times New Roman"/>
                <w:sz w:val="18"/>
              </w:rPr>
              <w:t>22</w:t>
            </w:r>
          </w:p>
        </w:tc>
        <w:tc>
          <w:tcPr>
            <w:tcW w:type="dxa" w:w="1608"/>
          </w:tcPr>
          <w:p>
            <w:pPr>
              <w:spacing w:line="240" w:lineRule="auto" w:after="40"/>
            </w:pPr>
            <w:r>
              <w:rPr>
                <w:rFonts w:ascii="Times New Roman" w:hAnsi="Times New Roman"/>
                <w:sz w:val="18"/>
              </w:rPr>
              <w:t>0.017</w:t>
            </w:r>
          </w:p>
        </w:tc>
        <w:tc>
          <w:tcPr>
            <w:tcW w:type="dxa" w:w="1608"/>
          </w:tcPr>
          <w:p>
            <w:pPr>
              <w:spacing w:line="240" w:lineRule="auto" w:after="40"/>
            </w:pPr>
            <w:r>
              <w:rPr>
                <w:rFonts w:ascii="Times New Roman" w:hAnsi="Times New Roman"/>
                <w:sz w:val="18"/>
              </w:rPr>
              <w:t>0.118</w:t>
            </w:r>
          </w:p>
        </w:tc>
        <w:tc>
          <w:tcPr>
            <w:tcW w:type="dxa" w:w="1608"/>
          </w:tcPr>
          <w:p>
            <w:pPr>
              <w:spacing w:line="240" w:lineRule="auto" w:after="40"/>
            </w:pPr>
            <w:r>
              <w:rPr>
                <w:rFonts w:ascii="Times New Roman" w:hAnsi="Times New Roman"/>
                <w:sz w:val="18"/>
              </w:rPr>
              <w:t>-0.027</w:t>
            </w:r>
          </w:p>
        </w:tc>
        <w:tc>
          <w:tcPr>
            <w:tcW w:type="dxa" w:w="1608"/>
          </w:tcPr>
          <w:p>
            <w:pPr>
              <w:spacing w:line="240" w:lineRule="auto" w:after="40"/>
            </w:pPr>
            <w:r>
              <w:rPr>
                <w:rFonts w:ascii="Times New Roman" w:hAnsi="Times New Roman"/>
                <w:sz w:val="18"/>
              </w:rPr>
              <w:t>0.304</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8" name="Picture 8"/>
            <wp:cNvGraphicFramePr>
              <a:graphicFrameLocks noChangeAspect="1"/>
            </wp:cNvGraphicFramePr>
            <a:graphic>
              <a:graphicData uri="http://schemas.openxmlformats.org/drawingml/2006/picture">
                <pic:pic>
                  <pic:nvPicPr>
                    <pic:cNvPr id="0" name="FigureA1.png"/>
                    <pic:cNvPicPr/>
                  </pic:nvPicPr>
                  <pic:blipFill>
                    <a:blip r:embed="rId17"/>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