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Journal of Comparative Policy Analysis tables</w:t>
      </w:r>
    </w:p>
    <w:p>
      <w:pPr>
        <w:pStyle w:val="Caption"/>
      </w:pPr>
      <w:r>
        <w:t>Table 1. Cross-domain mapping classifications by category. Counts describe the purposive relationship-dataset inventory and are not prevalence estimates for scientific theories or literatures.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Category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Robust nonlinear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Not significant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Outlier dependent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Overfitting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Insufficient data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Agriculture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Demography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Economics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Environmental Science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Physics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Political Science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Psychology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Public Health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</w:tr>
    </w:tbl>
    <w:p>
      <w:pPr>
        <w:pStyle w:val="Caption"/>
      </w:pPr>
      <w:r>
        <w:t>Table 2.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Controls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Weighting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Age control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ATT (log points)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Pre-trend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Implied deaths 2012-2019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-0.057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-877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-0.066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-1,018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-1,123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-1,109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0.847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-1,333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0.863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-1,291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0.314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0.275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-1,224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-0.116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0.170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-405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-451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0.581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-93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0.421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0.932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-146</w:t>
            </w:r>
          </w:p>
        </w:tc>
      </w:tr>
    </w:tbl>
    <w:p>
      <w:pPr>
        <w:pStyle w:val="Caption"/>
      </w:pPr>
      <w:r>
        <w:t>Table 3.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Quantity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Value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Scope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Type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Source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observed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2,996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expected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2,060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936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Of which direct disaster deaths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732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residual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implied difference 2012-2019 (recorded)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Certified disaster-related deaths, 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2,350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Reconstruction Agency, 2026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worldwide cancer deaths from the release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130 (15-1,100)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Evacuation-avoided radiological mortalities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28 (3-245)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Lifetime-risk relative increases in the 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 conclusion 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Collective effective dose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 / 36 / 48 thousand man-Sv (first year / ten years / lifetime)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Japanese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 conclusion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 expected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Exposed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</w:tbl>
    <w:p>
      <w:pPr>
        <w:pStyle w:val="Caption"/>
      </w:pPr>
      <w:r>
        <w:t>Table 4. Kansas synthetic-control estimates by outcome and donor pool. Mean gaps cover 2013-2017. Permutation p values compare Kansas with donor-state placebo gaps; LOO denotes leave-one-donor-out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Pool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Gap (%)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in-time placebo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LOO range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+1.5%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0.009 to 0.029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-0.4%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-1.3%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-0.014 to -0.001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-3.0%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-0.039 to -0.028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+3.1%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-26.9%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-0.322 to -0.291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</w:tbl>
    <w:p>
      <w:pPr>
        <w:pStyle w:val="Caption"/>
      </w:pPr>
      <w:r>
        <w:t>Table 5. Comparative summary of the two cases across the common dimensions. The cases are not statistically comparable; the final column states the comparative lesson each contrast supports.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Comparative dimension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evacuation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Kansas tax reform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Comparative lesson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Policy domain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Radiation protection; emergency public health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Fiscal and economic policy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The mechanism is domain-general: a named curve can carry a decision in any sector.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Policy objective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Reduce population radiation exposure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Raise growth while recovering revenue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Both objectives required a specific shape, not just an association.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Canonical relationship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Low-dose radiation dose-response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Tax rate-revenue and growth response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Named curves compress multi-step arguments into portable pictures.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Decision-relevant feature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Low-dose slope below observed doses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Local position, slope, and dynamic response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Each decision needed one feature of the curve, not the curve as a whole.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Type of uncertainty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Extrapolation below the observed range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Local-position and response-geometry uncertainty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Different uncertainty locations produce different appraisal priorities.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Extrapolation burden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High; few observations below 0.1 Gy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Moderate; within-state history but untested rate cut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Extrapolation burden predicts how far evidence can carry a decision.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Transportability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Atomic-bomb and occupational evidence to municipal exposure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Cross-state and theoretical evidence to one state's response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Transport gaps differ in kind; decompose them by population, period, and institution.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Decision sensitivity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Evacuation scope and duration change under plausible dose-response shapes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Revenue outlook changes under plausible local slopes and growth paths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 both, plausible alternative shapes imply materially different policies.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Cost of wrong action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Displacement, mortality risk, care disruption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Revenue loss and service compression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Error costs fall on identifiable groups, not on the model.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Cost of inaction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Residual radiation exposure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Foregone growth stimulus claim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Asymmetry must be weighed in both directions, not one.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Consequence asymmetry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Severe on both sides; competing harms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Primarily fiscal; distribution across budgets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Higher asymmetry raises the decision value of shape certainty.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Reversibility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Limited; displacement and health effects partly irreversible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Comparatively greater; statutes revised in 2017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Reversible settings can substitute adaptive design for ex ante certainty.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Time to observe outcomes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Years; health endpoints partly latent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Years; fiscal outcomes observable quickly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Observability on policy timescales enables learning architectures.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Learning opportunity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Zoning, staged return, exemptions possible but hard mid-crisis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Staged cuts, triggers, sunset clauses readily available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Where learning is feasible, adaptive implementation hedges shape uncertainty.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Preferred decision architecture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Staged, revisable protection with asymmetric-harm safeguards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Staged implementation with triggers and monitoring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Architecture should match the joint uncertainty-consequence-reversibility configuration.</w:t>
            </w:r>
          </w:p>
        </w:tc>
      </w:tr>
    </w:tbl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Prefecture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Reason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Years missing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Hachimantai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Oshu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Takizawa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Nishiwaga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Hirono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Aoba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Miyagino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Wakabayashi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Taihaku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Izumi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Shiogama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Kurihara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Higashimatsushima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Shichikashuku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Shichigahama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Misato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Minamisanriku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Yamagata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Shonai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Kasumigaura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Sakuragawa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Kamisu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Namegata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Hokota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Tsukubamirai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Omitama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Nasukarasuyama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Shimotsuke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Nakagawa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Midori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Higashiazuma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Minakami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Kita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Chuo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Konan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Akiha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Nishikan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Myoko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Seiro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Post-RMSPE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 2012-2019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Minamisoma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Kawamata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Naraha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0.714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Tomioka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0.164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-0.152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Kawauchi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Okuma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-0.268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0.562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Futaba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-0.191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0.286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Namie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-0.098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Katsurao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-0.137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Iitate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