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Supplementary municipality exclusions and robustness analyses</w:t>
      </w:r>
    </w:p>
    <w:p>
      <w:pPr>
        <w:pStyle w:val="Caption"/>
      </w:pPr>
      <w:r>
        <w:t>Appendix Table A1. Municipalities excluded from the Fukushima panel because of missing mortality or population observations. Exclusions are determined before outcome estimation.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Prefecture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Municipality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Reason</w:t>
            </w:r>
          </w:p>
        </w:tc>
        <w:tc>
          <w:tcPr>
            <w:tcW w:type="dxa" w:w="2412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Years missing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Iwate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Hachimantai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Iwate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Oshu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Iwate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Takizawa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2005,2006,2007,2008,2009,2010,2011,2012,2013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Iwate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Nishiwaga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Iwate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Hirono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Aoba Ward, Sendai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Miyagino Ward, Sendai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Wakabayashi Ward, Sendai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Taihaku Ward, Sendai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Izumi Ward, Sendai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Shiogama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2006,2007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Tome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Kurihara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Higashimatsushima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Osaki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Tomiya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2005,2006,2007,2008,2009,2010,2011,2012,2013,2014,2015,2016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Shichikashuku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Shichigahama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Misato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Miyagi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Minamisanriku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Yamagata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Shonai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Fukushima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Motomiya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2006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Kasumigaura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2006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Sakuragawa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Kamisu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Namegata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Hokota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Tsukubamirai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Ibaraki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Omitama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Tochigi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Nasukarasuyama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Tochigi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Shimotsuke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Tochigi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Nakagawa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Gunma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Midori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Gunma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Higashiazuma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Gunma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Minakami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Kita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Higashi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Chuo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Konan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Akiha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Minami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Nishi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Nishikan Ward, 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Unit not observed under a single code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2005,2006,2007,2008,2009,2010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Myoko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Tainai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Seiro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2006</w:t>
            </w:r>
          </w:p>
        </w:tc>
      </w:tr>
      <w:tr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Niigata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Aga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Population missing in at least one year 2005-2019</w:t>
            </w:r>
          </w:p>
        </w:tc>
        <w:tc>
          <w:tcPr>
            <w:tcW w:type="dxa" w:w="2412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2005</w:t>
            </w:r>
          </w:p>
        </w:tc>
      </w:tr>
    </w:tbl>
    <w:p>
      <w:pPr>
        <w:pStyle w:val="Caption"/>
      </w:pPr>
      <w:r>
        <w:t>Appendix Table A2. Unit-level Fukushima synthetic-control results for T1 municipalities. Mean gaps cover 2012-2019; permutation p values compare treated and placebo-unit gaps.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/>
          <w:left w:val="none"/>
          <w:bottom w:val="single" w:sz="8"/>
          <w:right w:val="none"/>
          <w:insideH w:val="none"/>
          <w:insideV w:val="none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Municipality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Donors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Pre-RMSPE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Post-RMSPE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Mean gap 2012-2019</w:t>
            </w:r>
          </w:p>
        </w:tc>
        <w:tc>
          <w:tcPr>
            <w:tcW w:type="dxa" w:w="1608"/>
            <w:tcBorders>
              <w:bottom w:val="single" w:sz="8"/>
            </w:tcBorders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Permutation p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Minamisoma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0.029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0.184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-0.011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0.25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Kawamata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0.01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0.082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0.055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0.333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Naraha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0.088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0.204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-0.128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0.714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Tomioka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0.164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-0.152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Kawauchi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0.044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0.148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0.083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Okuma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0.144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0.304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-0.268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0.562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Futaba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0.049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0.257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-0.191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0.286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Namie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0.004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-0.098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0.263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Katsurao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0.183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-0.137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0.833</w:t>
            </w:r>
          </w:p>
        </w:tc>
      </w:tr>
      <w:tr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Iitate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0.017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0.118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-0.027</w:t>
            </w:r>
          </w:p>
        </w:tc>
        <w:tc>
          <w:tcPr>
            <w:tcW w:type="dxa" w:w="1608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8"/>
              </w:rPr>
              <w:t>0.304</w:t>
            </w:r>
          </w:p>
        </w:tc>
      </w:tr>
    </w:tbl>
    <w:p>
      <w:pPr>
        <w:pStyle w:val="Caption"/>
      </w:pPr>
      <w:r>
        <w:t>Appendix Figure A1. Kansas neighboring-state difference-in-differences event studies for real GDP per capita, employment, total tax revenue, and individual income-tax revenue. Coefficients are relative to 2012; bars are 95% confidence intervals.</w:t>
      </w:r>
    </w:p>
    <w:p>
      <w:r>
        <w:drawing>
          <wp:inline xmlns:a="http://schemas.openxmlformats.org/drawingml/2006/main" xmlns:pic="http://schemas.openxmlformats.org/drawingml/2006/picture">
            <wp:extent cx="5852160" cy="4350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5002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