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right"/>
      </w:pPr>
      <w:r>
        <w:rPr>
          <w:rFonts w:ascii="Times New Roman" w:hAnsi="Times New Roman"/>
          <w:b w:val="0"/>
          <w:i/>
          <w:sz w:val="20"/>
        </w:rPr>
        <w:t>Running title: Code division and beat frequency in cetacean acoustics</w:t>
      </w:r>
    </w:p>
    <w:p>
      <w:pPr>
        <w:spacing w:line="480" w:lineRule="auto" w:after="0" w:before="0"/>
      </w:pPr>
      <w:r>
        <w:rPr>
          <w:rFonts w:ascii="Times New Roman" w:hAnsi="Times New Roman"/>
          <w:b w:val="0"/>
          <w:i w:val="0"/>
          <w:sz w:val="24"/>
        </w:rPr>
      </w:r>
    </w:p>
    <w:p>
      <w:pPr>
        <w:spacing w:line="480" w:lineRule="auto" w:after="0" w:before="0"/>
      </w:pPr>
      <w:r>
        <w:rPr>
          <w:rFonts w:ascii="Times New Roman" w:hAnsi="Times New Roman"/>
          <w:b w:val="0"/>
          <w:i w:val="0"/>
          <w:sz w:val="24"/>
        </w:rPr>
      </w:r>
    </w:p>
    <w:p>
      <w:pPr>
        <w:spacing w:line="480" w:lineRule="auto" w:after="0" w:before="0"/>
      </w:pPr>
      <w:r>
        <w:rPr>
          <w:rFonts w:ascii="Times New Roman" w:hAnsi="Times New Roman"/>
          <w:b w:val="0"/>
          <w:i w:val="0"/>
          <w:sz w:val="24"/>
        </w:rPr>
      </w:r>
    </w:p>
    <w:p>
      <w:pPr>
        <w:spacing w:line="480" w:lineRule="auto" w:after="0" w:before="0"/>
        <w:jc w:val="center"/>
      </w:pPr>
      <w:r>
        <w:rPr>
          <w:rFonts w:ascii="Times New Roman" w:hAnsi="Times New Roman"/>
          <w:b/>
          <w:i w:val="0"/>
          <w:sz w:val="28"/>
        </w:rPr>
        <w:t>Encoding structures in cetacean acoustics: Code division and beat frequency analysis</w:t>
      </w:r>
    </w:p>
    <w:p>
      <w:pPr>
        <w:spacing w:line="480" w:lineRule="auto" w:after="0" w:before="0"/>
      </w:pPr>
      <w:r>
        <w:rPr>
          <w:rFonts w:ascii="Times New Roman" w:hAnsi="Times New Roman"/>
          <w:b w:val="0"/>
          <w:i w:val="0"/>
          <w:sz w:val="24"/>
        </w:rPr>
      </w:r>
    </w:p>
    <w:p>
      <w:pPr>
        <w:spacing w:line="480" w:lineRule="auto" w:after="0" w:before="0"/>
        <w:jc w:val="center"/>
      </w:pPr>
      <w:r>
        <w:rPr>
          <w:rFonts w:ascii="Times New Roman" w:hAnsi="Times New Roman"/>
          <w:b w:val="0"/>
          <w:i w:val="0"/>
          <w:sz w:val="24"/>
        </w:rPr>
        <w:t>[Author Name]a)</w:t>
      </w:r>
    </w:p>
    <w:p>
      <w:pPr>
        <w:spacing w:line="480" w:lineRule="auto" w:after="0" w:before="0"/>
        <w:jc w:val="center"/>
      </w:pPr>
      <w:r>
        <w:rPr>
          <w:rFonts w:ascii="Times New Roman" w:hAnsi="Times New Roman"/>
          <w:b w:val="0"/>
          <w:i/>
          <w:sz w:val="24"/>
        </w:rPr>
        <w:t>[Department, Institution, City, State/Country, Postal Code]</w:t>
      </w:r>
    </w:p>
    <w:p>
      <w:pPr>
        <w:spacing w:line="480" w:lineRule="auto" w:after="0" w:before="0"/>
      </w:pPr>
      <w:r>
        <w:rPr>
          <w:rFonts w:ascii="Times New Roman" w:hAnsi="Times New Roman"/>
          <w:b w:val="0"/>
          <w:i w:val="0"/>
          <w:sz w:val="24"/>
        </w:rPr>
      </w:r>
    </w:p>
    <w:p>
      <w:pPr>
        <w:spacing w:line="480" w:lineRule="auto" w:after="0" w:before="0"/>
        <w:jc w:val="center"/>
      </w:pPr>
      <w:r>
        <w:rPr>
          <w:rFonts w:ascii="Times New Roman" w:hAnsi="Times New Roman"/>
          <w:b w:val="0"/>
          <w:i w:val="0"/>
          <w:sz w:val="20"/>
        </w:rPr>
        <w:t>(Dated: July 14, 2026)</w:t>
      </w:r>
    </w:p>
    <w:p>
      <w:pPr>
        <w:spacing w:line="480" w:lineRule="auto" w:after="0" w:before="0"/>
      </w:pPr>
      <w:r>
        <w:rPr>
          <w:rFonts w:ascii="Times New Roman" w:hAnsi="Times New Roman"/>
          <w:b w:val="0"/>
          <w:i w:val="0"/>
          <w:sz w:val="24"/>
        </w:rPr>
      </w:r>
    </w:p>
    <w:p>
      <w:pPr>
        <w:spacing w:line="480" w:lineRule="auto" w:after="0" w:before="0"/>
      </w:pPr>
      <w:r>
        <w:rPr>
          <w:rFonts w:ascii="Times New Roman" w:hAnsi="Times New Roman"/>
          <w:b w:val="0"/>
          <w:i w:val="0"/>
          <w:sz w:val="24"/>
        </w:rPr>
      </w:r>
    </w:p>
    <w:p>
      <w:pPr>
        <w:spacing w:line="480" w:lineRule="auto"/>
        <w:jc w:val="left"/>
      </w:pPr>
      <w:r>
        <w:rPr>
          <w:rFonts w:ascii="Times New Roman" w:hAnsi="Times New Roman"/>
          <w:sz w:val="20"/>
          <w:vertAlign w:val="superscript"/>
        </w:rPr>
        <w:t>a)</w:t>
      </w:r>
      <w:r>
        <w:rPr>
          <w:rFonts w:ascii="Times New Roman" w:hAnsi="Times New Roman"/>
          <w:sz w:val="20"/>
        </w:rPr>
        <w:t>Electronic mail: [email@institution.edu]</w:t>
      </w:r>
    </w:p>
    <w:p>
      <w:r>
        <w:br w:type="page"/>
      </w:r>
    </w:p>
    <w:p>
      <w:pPr>
        <w:spacing w:line="480" w:lineRule="auto" w:before="240" w:after="0"/>
        <w:jc w:val="center"/>
      </w:pPr>
      <w:r>
        <w:rPr>
          <w:rFonts w:ascii="Times New Roman" w:hAnsi="Times New Roman"/>
          <w:b/>
          <w:sz w:val="24"/>
        </w:rPr>
        <w:t>ABSTRACT</w:t>
      </w:r>
    </w:p>
    <w:p>
      <w:pPr>
        <w:spacing w:line="480" w:lineRule="auto" w:after="0" w:before="0"/>
      </w:pPr>
      <w:r>
        <w:rPr>
          <w:rFonts w:ascii="Times New Roman" w:hAnsi="Times New Roman"/>
          <w:b w:val="0"/>
          <w:i w:val="0"/>
          <w:sz w:val="24"/>
        </w:rPr>
        <w:t>This study investigates encoding structures in cetacean acoustic communication through quantitative analysis of the Watkins Marine Mammal Sound Database (1,357 recordings, 32 species). Seven analytical methods—spectrogram analysis, inter-click interval (ICI) analysis, bispectral analysis, information entropy analysis, temporal structure analysis, cross-species comparison, and CDMA-like orthogonality testing—were applied to acoustic data from six marine mammal species (Physeter macrocephalus, Megaptera novaeangliae, Orcinus orca, Balaenoptera physalus, Tursiops truncatus, and Delphinapterus leucas). Results demonstrate species-specific spectral signatures with significantly higher within-species correlation (0.40) than between-species correlation (0.30; Mann-Whitney U test, p = 3.37 × 10⁻³), supporting the hypothesis that cetaceans employ distinguishable spectral codes analogous to Code Division Multiple Access (CDMA). Bispectral analysis detected quadratic phase coupling in all six species, with sperm whales exhibiting the highest bicoherence (0.000751), providing evidence for nonlinear frequency interactions relevant to the beat frequency hypothesis. Shannon information entropy ranged from 2.28 to 7.43 bits across species, reflecting substantial variation in communication complexity. These findings provide quantitative support for the existence of structured encoding in cetacean acoustic communication and suggest that telecommunications-inspired frameworks offer valuable analytical tools for bioacoustic research.</w:t>
      </w:r>
    </w:p>
    <w:p>
      <w:pPr>
        <w:spacing w:line="480" w:lineRule="auto" w:after="0" w:before="0"/>
      </w:pPr>
      <w:r>
        <w:rPr>
          <w:rFonts w:ascii="Times New Roman" w:hAnsi="Times New Roman"/>
          <w:b w:val="0"/>
          <w:i w:val="0"/>
          <w:sz w:val="24"/>
        </w:rPr>
      </w:r>
    </w:p>
    <w:p>
      <w:pPr>
        <w:spacing w:line="480" w:lineRule="auto"/>
      </w:pPr>
      <w:r>
        <w:rPr>
          <w:rFonts w:ascii="Times New Roman" w:hAnsi="Times New Roman"/>
          <w:b/>
          <w:sz w:val="20"/>
        </w:rPr>
        <w:t xml:space="preserve">PACS numbers: </w:t>
      </w:r>
      <w:r>
        <w:rPr>
          <w:rFonts w:ascii="Times New Roman" w:hAnsi="Times New Roman"/>
          <w:sz w:val="20"/>
        </w:rPr>
        <w:t>43.80.Ka [Animal bioacoustics: Communication], 43.60.Cg [Signal detection and estimation], 43.30.Sf [Underwater acoustics: Acoustics of biological systems]</w:t>
      </w:r>
    </w:p>
    <w:p>
      <w:r>
        <w:br w:type="page"/>
      </w:r>
    </w:p>
    <w:p>
      <w:pPr>
        <w:spacing w:line="480" w:lineRule="auto" w:before="240" w:after="0"/>
        <w:jc w:val="center"/>
      </w:pPr>
      <w:r>
        <w:rPr>
          <w:rFonts w:ascii="Times New Roman" w:hAnsi="Times New Roman"/>
          <w:b/>
          <w:sz w:val="24"/>
        </w:rPr>
        <w:t>I. INTRODUCTION</w:t>
      </w:r>
    </w:p>
    <w:p>
      <w:pPr>
        <w:spacing w:line="480" w:lineRule="auto" w:after="0" w:before="0"/>
        <w:ind w:firstLine="720"/>
      </w:pPr>
      <w:r>
        <w:rPr>
          <w:rFonts w:ascii="Times New Roman" w:hAnsi="Times New Roman"/>
          <w:b w:val="0"/>
          <w:i w:val="0"/>
          <w:sz w:val="24"/>
        </w:rPr>
        <w:t>Cetaceans are among the most acoustically sophisticated animals on Earth, employing a diverse repertoire of sounds for communication, navigation, and foraging (Tyack and Clark, 2000). Baleen whales (Mysticeti) utilize infrasound in the 10–200 Hz range, propagating through the Sound Fixing and Ranging (SOFAR) channel to reach distances of hundreds to thousands of kilometers (Payne and Webb, 1971). Toothed whales (Odontoceti) employ ultrasonic clicks for echolocation and produce stereotyped click sequences known as codas for social communication (Watkins and Schevill, 1977).</w:t>
      </w:r>
    </w:p>
    <w:p>
      <w:pPr>
        <w:spacing w:line="480" w:lineRule="auto" w:after="0" w:before="0"/>
        <w:ind w:firstLine="720"/>
      </w:pPr>
      <w:r>
        <w:rPr>
          <w:rFonts w:ascii="Times New Roman" w:hAnsi="Times New Roman"/>
          <w:b w:val="0"/>
          <w:i w:val="0"/>
          <w:sz w:val="24"/>
        </w:rPr>
        <w:t>Recent advances have revealed remarkable structural properties in cetacean vocalizations that parallel features of human language. Arnon et al. (2025) demonstrated that humpback whale songs follow Zipf’s law of abbreviation, a statistical hallmark of natural language. Sharma et al. (2024) identified contextual and combinatorial structure in sperm whale codas, suggesting a compositional communication system. Youngblood (2025) found evidence for language-like efficiency in whale communication patterns. Begus et al. (2025) reported vowel-like spectral patterns in sperm whale codas, and Lefevre et al. (2025) documented biphonation—simultaneous dual-voice production—in multiple animal taxa including cetaceans.</w:t>
      </w:r>
    </w:p>
    <w:p>
      <w:pPr>
        <w:spacing w:line="480" w:lineRule="auto" w:after="0" w:before="0"/>
        <w:ind w:firstLine="720"/>
      </w:pPr>
      <w:r>
        <w:rPr>
          <w:rFonts w:ascii="Times New Roman" w:hAnsi="Times New Roman"/>
          <w:b w:val="0"/>
          <w:i w:val="0"/>
          <w:sz w:val="24"/>
        </w:rPr>
        <w:t>These findings raise the question of whether cetacean acoustic communication employs systematic encoding structures that can be analyzed using frameworks from telecommunications engineering. The present study tests two specific hypotheses:</w:t>
      </w:r>
    </w:p>
    <w:p>
      <w:pPr>
        <w:spacing w:line="480" w:lineRule="auto" w:after="0" w:before="0"/>
        <w:ind w:firstLine="720"/>
      </w:pPr>
      <w:r>
        <w:rPr>
          <w:rFonts w:ascii="Times New Roman" w:hAnsi="Times New Roman"/>
          <w:b w:val="0"/>
          <w:i w:val="0"/>
          <w:sz w:val="24"/>
        </w:rPr>
        <w:t>(1) CDMA-like Code Division Hypothesis: Each species and/or individual possesses a unique spectral code, enabling selective decoding of target signals from a shared acoustic channel—analogous to Code Division Multiple Access (CDMA) in telecommunications (Viterbi, 1995).</w:t>
      </w:r>
    </w:p>
    <w:p>
      <w:pPr>
        <w:spacing w:line="480" w:lineRule="auto" w:after="0" w:before="0"/>
        <w:ind w:firstLine="720"/>
      </w:pPr>
      <w:r>
        <w:rPr>
          <w:rFonts w:ascii="Times New Roman" w:hAnsi="Times New Roman"/>
          <w:b w:val="0"/>
          <w:i w:val="0"/>
          <w:sz w:val="24"/>
        </w:rPr>
        <w:t>(2) Beat Frequency Hypothesis: Nonlinear acoustic interactions between temporally delayed signal components produce interference (beat) frequencies that carry meaningful information—analogous to the parametric acoustic array effect (Westervelt, 1963).</w:t>
      </w:r>
    </w:p>
    <w:p>
      <w:pPr>
        <w:spacing w:line="480" w:lineRule="auto" w:after="0" w:before="0"/>
        <w:ind w:firstLine="720"/>
      </w:pPr>
      <w:r>
        <w:rPr>
          <w:rFonts w:ascii="Times New Roman" w:hAnsi="Times New Roman"/>
          <w:b w:val="0"/>
          <w:i w:val="0"/>
          <w:sz w:val="24"/>
        </w:rPr>
        <w:t>To test these hypotheses, we apply seven quantitative analytical methods to acoustic recordings of six marine mammal species from the Watkins Marine Mammal Sound Database (Sayigh et al., 2016).</w:t>
      </w:r>
    </w:p>
    <w:p>
      <w:pPr>
        <w:spacing w:line="480" w:lineRule="auto" w:before="240" w:after="0"/>
        <w:jc w:val="center"/>
      </w:pPr>
      <w:r>
        <w:rPr>
          <w:rFonts w:ascii="Times New Roman" w:hAnsi="Times New Roman"/>
          <w:b/>
          <w:sz w:val="24"/>
        </w:rPr>
        <w:t>II. MATERIALS AND METHODS</w:t>
      </w:r>
    </w:p>
    <w:p>
      <w:pPr>
        <w:spacing w:line="480" w:lineRule="auto" w:before="240" w:after="0"/>
        <w:jc w:val="left"/>
      </w:pPr>
      <w:r>
        <w:rPr>
          <w:rFonts w:ascii="Times New Roman" w:hAnsi="Times New Roman"/>
          <w:b/>
          <w:i/>
          <w:sz w:val="24"/>
        </w:rPr>
        <w:t>A. Acoustic data</w:t>
      </w:r>
    </w:p>
    <w:p>
      <w:pPr>
        <w:spacing w:line="480" w:lineRule="auto" w:after="0" w:before="0"/>
        <w:ind w:firstLine="720"/>
      </w:pPr>
      <w:r>
        <w:rPr>
          <w:rFonts w:ascii="Times New Roman" w:hAnsi="Times New Roman"/>
          <w:b w:val="0"/>
          <w:i w:val="0"/>
          <w:sz w:val="24"/>
        </w:rPr>
        <w:t>Acoustic recordings were obtained from the Watkins Marine Mammal Sound Database (WMMS; Woods Hole Oceanographic Institution), accessed via the HuggingFace repository (confit/wmms-parquet, revision a90a38e). The database contains 1,357 recordings from 32 species. Six target species were selected to represent a range of vocal production mechanisms and frequency ranges (TABLE I). Up to 10 recordings per species were analyzed. The first 60 s of each recording were resampled to 16 kHz for standardized processing.</w:t>
      </w:r>
    </w:p>
    <w:p>
      <w:pPr>
        <w:spacing w:line="480" w:lineRule="auto" w:after="0" w:before="0"/>
      </w:pPr>
      <w:r>
        <w:rPr>
          <w:rFonts w:ascii="Times New Roman" w:hAnsi="Times New Roman"/>
          <w:b w:val="0"/>
          <w:i w:val="0"/>
          <w:sz w:val="24"/>
        </w:rPr>
      </w:r>
    </w:p>
    <w:p>
      <w:pPr>
        <w:spacing w:line="480" w:lineRule="auto"/>
      </w:pPr>
      <w:r>
        <w:rPr>
          <w:rFonts w:ascii="Times New Roman" w:hAnsi="Times New Roman"/>
          <w:b/>
          <w:sz w:val="20"/>
        </w:rPr>
        <w:t xml:space="preserve">TABLE I. </w:t>
      </w:r>
      <w:r>
        <w:rPr>
          <w:rFonts w:ascii="Times New Roman" w:hAnsi="Times New Roman"/>
          <w:sz w:val="20"/>
        </w:rPr>
        <w:t>Target species and their acoustic characteristics.</w:t>
      </w:r>
    </w:p>
    <w:tbl>
      <w:tblPr>
        <w:tblW w:type="auto" w:w="0"/>
        <w:tblLayout w:type="autofit"/>
        <w:tblLook w:firstColumn="1" w:firstRow="1" w:lastColumn="0" w:lastRow="0" w:noHBand="0" w:noVBand="1" w:val="04A0"/>
        <w:tblBorders>
          <w:top w:val="single" w:sz="12" w:space="0" w:color="000000"/>
          <w:bottom w:val="single" w:sz="12" w:space="0" w:color="000000"/>
          <w:insideH w:val="single" w:sz="4" w:space="0" w:color="000000"/>
          <w:left w:val="none" w:sz="0" w:space="0" w:color="000000"/>
          <w:right w:val="none" w:sz="0" w:space="0" w:color="000000"/>
          <w:insideV w:val="none" w:sz="0" w:space="0" w:color="000000"/>
        </w:tblBorders>
      </w:tblPr>
      <w:tblGrid>
        <w:gridCol w:w="2340"/>
        <w:gridCol w:w="2340"/>
        <w:gridCol w:w="2340"/>
        <w:gridCol w:w="2340"/>
      </w:tblGrid>
      <w:tr>
        <w:tc>
          <w:tcPr>
            <w:tcW w:type="dxa" w:w="2340"/>
          </w:tcPr>
          <w:p>
            <w:pPr>
              <w:spacing w:before="40" w:after="40"/>
            </w:pPr>
            <w:r/>
            <w:r>
              <w:rPr>
                <w:rFonts w:ascii="Times New Roman" w:hAnsi="Times New Roman"/>
                <w:b/>
                <w:i w:val="0"/>
                <w:sz w:val="20"/>
              </w:rPr>
              <w:t>Species</w:t>
            </w:r>
          </w:p>
        </w:tc>
        <w:tc>
          <w:tcPr>
            <w:tcW w:type="dxa" w:w="2340"/>
          </w:tcPr>
          <w:p>
            <w:pPr>
              <w:spacing w:before="40" w:after="40"/>
            </w:pPr>
            <w:r/>
            <w:r>
              <w:rPr>
                <w:rFonts w:ascii="Times New Roman" w:hAnsi="Times New Roman"/>
                <w:b/>
                <w:i w:val="0"/>
                <w:sz w:val="20"/>
              </w:rPr>
              <w:t>Common name</w:t>
            </w:r>
          </w:p>
        </w:tc>
        <w:tc>
          <w:tcPr>
            <w:tcW w:type="dxa" w:w="2340"/>
          </w:tcPr>
          <w:p>
            <w:pPr>
              <w:spacing w:before="40" w:after="40"/>
            </w:pPr>
            <w:r/>
            <w:r>
              <w:rPr>
                <w:rFonts w:ascii="Times New Roman" w:hAnsi="Times New Roman"/>
                <w:b/>
                <w:i w:val="0"/>
                <w:sz w:val="20"/>
              </w:rPr>
              <w:t>Vocal type</w:t>
            </w:r>
          </w:p>
        </w:tc>
        <w:tc>
          <w:tcPr>
            <w:tcW w:type="dxa" w:w="2340"/>
          </w:tcPr>
          <w:p>
            <w:pPr>
              <w:spacing w:before="40" w:after="40"/>
            </w:pPr>
            <w:r/>
            <w:r>
              <w:rPr>
                <w:rFonts w:ascii="Times New Roman" w:hAnsi="Times New Roman"/>
                <w:b/>
                <w:i w:val="0"/>
                <w:sz w:val="20"/>
              </w:rPr>
              <w:t>Frequency range</w:t>
            </w:r>
          </w:p>
        </w:tc>
      </w:tr>
      <w:tr>
        <w:tc>
          <w:tcPr>
            <w:tcW w:type="dxa" w:w="2340"/>
          </w:tcPr>
          <w:p>
            <w:pPr>
              <w:spacing w:before="40" w:after="40"/>
            </w:pPr>
            <w:r/>
            <w:r>
              <w:rPr>
                <w:rFonts w:ascii="Times New Roman" w:hAnsi="Times New Roman"/>
                <w:b w:val="0"/>
                <w:i/>
                <w:sz w:val="20"/>
              </w:rPr>
              <w:t>Physeter macrocephalus</w:t>
            </w:r>
          </w:p>
        </w:tc>
        <w:tc>
          <w:tcPr>
            <w:tcW w:type="dxa" w:w="2340"/>
          </w:tcPr>
          <w:p>
            <w:pPr>
              <w:spacing w:before="40" w:after="40"/>
            </w:pPr>
            <w:r/>
            <w:r>
              <w:rPr>
                <w:rFonts w:ascii="Times New Roman" w:hAnsi="Times New Roman"/>
                <w:b w:val="0"/>
                <w:i w:val="0"/>
                <w:sz w:val="20"/>
              </w:rPr>
              <w:t>Sperm whale</w:t>
            </w:r>
          </w:p>
        </w:tc>
        <w:tc>
          <w:tcPr>
            <w:tcW w:type="dxa" w:w="2340"/>
          </w:tcPr>
          <w:p>
            <w:pPr>
              <w:spacing w:before="40" w:after="40"/>
            </w:pPr>
            <w:r/>
            <w:r>
              <w:rPr>
                <w:rFonts w:ascii="Times New Roman" w:hAnsi="Times New Roman"/>
                <w:b w:val="0"/>
                <w:i w:val="0"/>
                <w:sz w:val="20"/>
              </w:rPr>
              <w:t>Clicks/codas</w:t>
            </w:r>
          </w:p>
        </w:tc>
        <w:tc>
          <w:tcPr>
            <w:tcW w:type="dxa" w:w="2340"/>
          </w:tcPr>
          <w:p>
            <w:pPr>
              <w:spacing w:before="40" w:after="40"/>
            </w:pPr>
            <w:r/>
            <w:r>
              <w:rPr>
                <w:rFonts w:ascii="Times New Roman" w:hAnsi="Times New Roman"/>
                <w:b w:val="0"/>
                <w:i w:val="0"/>
                <w:sz w:val="20"/>
              </w:rPr>
              <w:t>0.1–30 kHz</w:t>
            </w:r>
          </w:p>
        </w:tc>
      </w:tr>
      <w:tr>
        <w:tc>
          <w:tcPr>
            <w:tcW w:type="dxa" w:w="2340"/>
          </w:tcPr>
          <w:p>
            <w:pPr>
              <w:spacing w:before="40" w:after="40"/>
            </w:pPr>
            <w:r/>
            <w:r>
              <w:rPr>
                <w:rFonts w:ascii="Times New Roman" w:hAnsi="Times New Roman"/>
                <w:b w:val="0"/>
                <w:i/>
                <w:sz w:val="20"/>
              </w:rPr>
              <w:t>Megaptera novaeangliae</w:t>
            </w:r>
          </w:p>
        </w:tc>
        <w:tc>
          <w:tcPr>
            <w:tcW w:type="dxa" w:w="2340"/>
          </w:tcPr>
          <w:p>
            <w:pPr>
              <w:spacing w:before="40" w:after="40"/>
            </w:pPr>
            <w:r/>
            <w:r>
              <w:rPr>
                <w:rFonts w:ascii="Times New Roman" w:hAnsi="Times New Roman"/>
                <w:b w:val="0"/>
                <w:i w:val="0"/>
                <w:sz w:val="20"/>
              </w:rPr>
              <w:t>Humpback whale</w:t>
            </w:r>
          </w:p>
        </w:tc>
        <w:tc>
          <w:tcPr>
            <w:tcW w:type="dxa" w:w="2340"/>
          </w:tcPr>
          <w:p>
            <w:pPr>
              <w:spacing w:before="40" w:after="40"/>
            </w:pPr>
            <w:r/>
            <w:r>
              <w:rPr>
                <w:rFonts w:ascii="Times New Roman" w:hAnsi="Times New Roman"/>
                <w:b w:val="0"/>
                <w:i w:val="0"/>
                <w:sz w:val="20"/>
              </w:rPr>
              <w:t>Songs/calls</w:t>
            </w:r>
          </w:p>
        </w:tc>
        <w:tc>
          <w:tcPr>
            <w:tcW w:type="dxa" w:w="2340"/>
          </w:tcPr>
          <w:p>
            <w:pPr>
              <w:spacing w:before="40" w:after="40"/>
            </w:pPr>
            <w:r/>
            <w:r>
              <w:rPr>
                <w:rFonts w:ascii="Times New Roman" w:hAnsi="Times New Roman"/>
                <w:b w:val="0"/>
                <w:i w:val="0"/>
                <w:sz w:val="20"/>
              </w:rPr>
              <w:t>20 Hz–8 kHz</w:t>
            </w:r>
          </w:p>
        </w:tc>
      </w:tr>
      <w:tr>
        <w:tc>
          <w:tcPr>
            <w:tcW w:type="dxa" w:w="2340"/>
          </w:tcPr>
          <w:p>
            <w:pPr>
              <w:spacing w:before="40" w:after="40"/>
            </w:pPr>
            <w:r/>
            <w:r>
              <w:rPr>
                <w:rFonts w:ascii="Times New Roman" w:hAnsi="Times New Roman"/>
                <w:b w:val="0"/>
                <w:i/>
                <w:sz w:val="20"/>
              </w:rPr>
              <w:t>Orcinus orca</w:t>
            </w:r>
          </w:p>
        </w:tc>
        <w:tc>
          <w:tcPr>
            <w:tcW w:type="dxa" w:w="2340"/>
          </w:tcPr>
          <w:p>
            <w:pPr>
              <w:spacing w:before="40" w:after="40"/>
            </w:pPr>
            <w:r/>
            <w:r>
              <w:rPr>
                <w:rFonts w:ascii="Times New Roman" w:hAnsi="Times New Roman"/>
                <w:b w:val="0"/>
                <w:i w:val="0"/>
                <w:sz w:val="20"/>
              </w:rPr>
              <w:t>Killer whale</w:t>
            </w:r>
          </w:p>
        </w:tc>
        <w:tc>
          <w:tcPr>
            <w:tcW w:type="dxa" w:w="2340"/>
          </w:tcPr>
          <w:p>
            <w:pPr>
              <w:spacing w:before="40" w:after="40"/>
            </w:pPr>
            <w:r/>
            <w:r>
              <w:rPr>
                <w:rFonts w:ascii="Times New Roman" w:hAnsi="Times New Roman"/>
                <w:b w:val="0"/>
                <w:i w:val="0"/>
                <w:sz w:val="20"/>
              </w:rPr>
              <w:t>Calls/clicks</w:t>
            </w:r>
          </w:p>
        </w:tc>
        <w:tc>
          <w:tcPr>
            <w:tcW w:type="dxa" w:w="2340"/>
          </w:tcPr>
          <w:p>
            <w:pPr>
              <w:spacing w:before="40" w:after="40"/>
            </w:pPr>
            <w:r/>
            <w:r>
              <w:rPr>
                <w:rFonts w:ascii="Times New Roman" w:hAnsi="Times New Roman"/>
                <w:b w:val="0"/>
                <w:i w:val="0"/>
                <w:sz w:val="20"/>
              </w:rPr>
              <w:t>0.5–80 kHz</w:t>
            </w:r>
          </w:p>
        </w:tc>
      </w:tr>
      <w:tr>
        <w:tc>
          <w:tcPr>
            <w:tcW w:type="dxa" w:w="2340"/>
          </w:tcPr>
          <w:p>
            <w:pPr>
              <w:spacing w:before="40" w:after="40"/>
            </w:pPr>
            <w:r/>
            <w:r>
              <w:rPr>
                <w:rFonts w:ascii="Times New Roman" w:hAnsi="Times New Roman"/>
                <w:b w:val="0"/>
                <w:i/>
                <w:sz w:val="20"/>
              </w:rPr>
              <w:t>Balaenoptera physalus</w:t>
            </w:r>
          </w:p>
        </w:tc>
        <w:tc>
          <w:tcPr>
            <w:tcW w:type="dxa" w:w="2340"/>
          </w:tcPr>
          <w:p>
            <w:pPr>
              <w:spacing w:before="40" w:after="40"/>
            </w:pPr>
            <w:r/>
            <w:r>
              <w:rPr>
                <w:rFonts w:ascii="Times New Roman" w:hAnsi="Times New Roman"/>
                <w:b w:val="0"/>
                <w:i w:val="0"/>
                <w:sz w:val="20"/>
              </w:rPr>
              <w:t>Fin whale</w:t>
            </w:r>
          </w:p>
        </w:tc>
        <w:tc>
          <w:tcPr>
            <w:tcW w:type="dxa" w:w="2340"/>
          </w:tcPr>
          <w:p>
            <w:pPr>
              <w:spacing w:before="40" w:after="40"/>
            </w:pPr>
            <w:r/>
            <w:r>
              <w:rPr>
                <w:rFonts w:ascii="Times New Roman" w:hAnsi="Times New Roman"/>
                <w:b w:val="0"/>
                <w:i w:val="0"/>
                <w:sz w:val="20"/>
              </w:rPr>
              <w:t>Infrasonic pulses</w:t>
            </w:r>
          </w:p>
        </w:tc>
        <w:tc>
          <w:tcPr>
            <w:tcW w:type="dxa" w:w="2340"/>
          </w:tcPr>
          <w:p>
            <w:pPr>
              <w:spacing w:before="40" w:after="40"/>
            </w:pPr>
            <w:r/>
            <w:r>
              <w:rPr>
                <w:rFonts w:ascii="Times New Roman" w:hAnsi="Times New Roman"/>
                <w:b w:val="0"/>
                <w:i w:val="0"/>
                <w:sz w:val="20"/>
              </w:rPr>
              <w:t>15–40 Hz</w:t>
            </w:r>
          </w:p>
        </w:tc>
      </w:tr>
      <w:tr>
        <w:tc>
          <w:tcPr>
            <w:tcW w:type="dxa" w:w="2340"/>
          </w:tcPr>
          <w:p>
            <w:pPr>
              <w:spacing w:before="40" w:after="40"/>
            </w:pPr>
            <w:r/>
            <w:r>
              <w:rPr>
                <w:rFonts w:ascii="Times New Roman" w:hAnsi="Times New Roman"/>
                <w:b w:val="0"/>
                <w:i/>
                <w:sz w:val="20"/>
              </w:rPr>
              <w:t>Tursiops truncatus</w:t>
            </w:r>
          </w:p>
        </w:tc>
        <w:tc>
          <w:tcPr>
            <w:tcW w:type="dxa" w:w="2340"/>
          </w:tcPr>
          <w:p>
            <w:pPr>
              <w:spacing w:before="40" w:after="40"/>
            </w:pPr>
            <w:r/>
            <w:r>
              <w:rPr>
                <w:rFonts w:ascii="Times New Roman" w:hAnsi="Times New Roman"/>
                <w:b w:val="0"/>
                <w:i w:val="0"/>
                <w:sz w:val="20"/>
              </w:rPr>
              <w:t>Bottlenose dolphin</w:t>
            </w:r>
          </w:p>
        </w:tc>
        <w:tc>
          <w:tcPr>
            <w:tcW w:type="dxa" w:w="2340"/>
          </w:tcPr>
          <w:p>
            <w:pPr>
              <w:spacing w:before="40" w:after="40"/>
            </w:pPr>
            <w:r/>
            <w:r>
              <w:rPr>
                <w:rFonts w:ascii="Times New Roman" w:hAnsi="Times New Roman"/>
                <w:b w:val="0"/>
                <w:i w:val="0"/>
                <w:sz w:val="20"/>
              </w:rPr>
              <w:t>Whistles/clicks</w:t>
            </w:r>
          </w:p>
        </w:tc>
        <w:tc>
          <w:tcPr>
            <w:tcW w:type="dxa" w:w="2340"/>
          </w:tcPr>
          <w:p>
            <w:pPr>
              <w:spacing w:before="40" w:after="40"/>
            </w:pPr>
            <w:r/>
            <w:r>
              <w:rPr>
                <w:rFonts w:ascii="Times New Roman" w:hAnsi="Times New Roman"/>
                <w:b w:val="0"/>
                <w:i w:val="0"/>
                <w:sz w:val="20"/>
              </w:rPr>
              <w:t>0.2–150 kHz</w:t>
            </w:r>
          </w:p>
        </w:tc>
      </w:tr>
      <w:tr>
        <w:tc>
          <w:tcPr>
            <w:tcW w:type="dxa" w:w="2340"/>
          </w:tcPr>
          <w:p>
            <w:pPr>
              <w:spacing w:before="40" w:after="40"/>
            </w:pPr>
            <w:r/>
            <w:r>
              <w:rPr>
                <w:rFonts w:ascii="Times New Roman" w:hAnsi="Times New Roman"/>
                <w:b w:val="0"/>
                <w:i/>
                <w:sz w:val="20"/>
              </w:rPr>
              <w:t>Delphinapterus leucas</w:t>
            </w:r>
          </w:p>
        </w:tc>
        <w:tc>
          <w:tcPr>
            <w:tcW w:type="dxa" w:w="2340"/>
          </w:tcPr>
          <w:p>
            <w:pPr>
              <w:spacing w:before="40" w:after="40"/>
            </w:pPr>
            <w:r/>
            <w:r>
              <w:rPr>
                <w:rFonts w:ascii="Times New Roman" w:hAnsi="Times New Roman"/>
                <w:b w:val="0"/>
                <w:i w:val="0"/>
                <w:sz w:val="20"/>
              </w:rPr>
              <w:t>Beluga whale</w:t>
            </w:r>
          </w:p>
        </w:tc>
        <w:tc>
          <w:tcPr>
            <w:tcW w:type="dxa" w:w="2340"/>
          </w:tcPr>
          <w:p>
            <w:pPr>
              <w:spacing w:before="40" w:after="40"/>
            </w:pPr>
            <w:r/>
            <w:r>
              <w:rPr>
                <w:rFonts w:ascii="Times New Roman" w:hAnsi="Times New Roman"/>
                <w:b w:val="0"/>
                <w:i w:val="0"/>
                <w:sz w:val="20"/>
              </w:rPr>
              <w:t>Whistles/clicks</w:t>
            </w:r>
          </w:p>
        </w:tc>
        <w:tc>
          <w:tcPr>
            <w:tcW w:type="dxa" w:w="2340"/>
          </w:tcPr>
          <w:p>
            <w:pPr>
              <w:spacing w:before="40" w:after="40"/>
            </w:pPr>
            <w:r/>
            <w:r>
              <w:rPr>
                <w:rFonts w:ascii="Times New Roman" w:hAnsi="Times New Roman"/>
                <w:b w:val="0"/>
                <w:i w:val="0"/>
                <w:sz w:val="20"/>
              </w:rPr>
              <w:t>0.1–120 kHz</w:t>
            </w:r>
          </w:p>
        </w:tc>
      </w:tr>
    </w:tbl>
    <w:p>
      <w:pPr>
        <w:spacing w:line="480" w:lineRule="auto" w:after="0" w:before="0"/>
      </w:pPr>
      <w:r>
        <w:rPr>
          <w:rFonts w:ascii="Times New Roman" w:hAnsi="Times New Roman"/>
          <w:b w:val="0"/>
          <w:i w:val="0"/>
          <w:sz w:val="24"/>
        </w:rPr>
      </w:r>
    </w:p>
    <w:p>
      <w:pPr>
        <w:spacing w:line="480" w:lineRule="auto" w:before="240" w:after="0"/>
        <w:jc w:val="left"/>
      </w:pPr>
      <w:r>
        <w:rPr>
          <w:rFonts w:ascii="Times New Roman" w:hAnsi="Times New Roman"/>
          <w:b/>
          <w:i/>
          <w:sz w:val="24"/>
        </w:rPr>
        <w:t>B. Analytical methods</w:t>
      </w:r>
    </w:p>
    <w:p>
      <w:pPr>
        <w:spacing w:line="480" w:lineRule="auto" w:before="240" w:after="0"/>
        <w:jc w:val="left"/>
      </w:pPr>
      <w:r>
        <w:rPr>
          <w:rFonts w:ascii="Times New Roman" w:hAnsi="Times New Roman"/>
          <w:i/>
          <w:sz w:val="24"/>
        </w:rPr>
        <w:t>1. Spectrogram analysis</w:t>
      </w:r>
    </w:p>
    <w:p>
      <w:pPr>
        <w:spacing w:line="480" w:lineRule="auto" w:after="0" w:before="0"/>
        <w:ind w:firstLine="720"/>
      </w:pPr>
      <w:r>
        <w:rPr>
          <w:rFonts w:ascii="Times New Roman" w:hAnsi="Times New Roman"/>
          <w:b w:val="0"/>
          <w:i w:val="0"/>
          <w:sz w:val="24"/>
        </w:rPr>
        <w:t>Short-time Fourier transform (STFT) spectrograms were computed using a Hann window of 1024 samples with 50% overlap. Three spectral features were extracted: spectral centroid (amplitude-weighted mean frequency), spectral bandwidth (standard deviation about the centroid), and dominant frequency (frequency of maximum power spectral density).</w:t>
      </w:r>
    </w:p>
    <w:p>
      <w:pPr>
        <w:spacing w:line="480" w:lineRule="auto" w:before="240" w:after="0"/>
        <w:jc w:val="left"/>
      </w:pPr>
      <w:r>
        <w:rPr>
          <w:rFonts w:ascii="Times New Roman" w:hAnsi="Times New Roman"/>
          <w:i/>
          <w:sz w:val="24"/>
        </w:rPr>
        <w:t>2. Inter-click interval analysis</w:t>
      </w:r>
    </w:p>
    <w:p>
      <w:pPr>
        <w:spacing w:line="480" w:lineRule="auto" w:after="0" w:before="0"/>
        <w:ind w:firstLine="720"/>
      </w:pPr>
      <w:r>
        <w:rPr>
          <w:rFonts w:ascii="Times New Roman" w:hAnsi="Times New Roman"/>
          <w:b w:val="0"/>
          <w:i w:val="0"/>
          <w:sz w:val="24"/>
        </w:rPr>
        <w:t>Click events were detected using the Hilbert transform to compute the analytic signal envelope, followed by median filtering (1 ms window) and threshold-based onset detection (threshold = mean + 3 × standard deviation). Inter-click intervals (ICIs) were calculated as successive onset time differences and filtered to the range 1–2,000 ms.</w:t>
      </w:r>
    </w:p>
    <w:p>
      <w:pPr>
        <w:spacing w:line="480" w:lineRule="auto" w:before="240" w:after="0"/>
        <w:jc w:val="left"/>
      </w:pPr>
      <w:r>
        <w:rPr>
          <w:rFonts w:ascii="Times New Roman" w:hAnsi="Times New Roman"/>
          <w:i/>
          <w:sz w:val="24"/>
        </w:rPr>
        <w:t>3. Bispectral analysis</w:t>
      </w:r>
    </w:p>
    <w:p>
      <w:pPr>
        <w:spacing w:line="480" w:lineRule="auto" w:after="0" w:before="0"/>
        <w:ind w:firstLine="720"/>
      </w:pPr>
      <w:r>
        <w:rPr>
          <w:rFonts w:ascii="Times New Roman" w:hAnsi="Times New Roman"/>
          <w:b w:val="0"/>
          <w:i w:val="0"/>
          <w:sz w:val="24"/>
        </w:rPr>
        <w:t>The bispectrum was estimated to detect quadratic phase coupling indicative of nonlinear frequency interactions. For each recording segment of N = 512 samples, the bispectrum was computed as:</w:t>
      </w:r>
    </w:p>
    <w:p>
      <w:pPr>
        <w:spacing w:line="480" w:lineRule="auto" w:after="0" w:before="0"/>
        <w:jc w:val="center"/>
      </w:pPr>
      <w:r>
        <w:rPr>
          <w:rFonts w:ascii="Times New Roman" w:hAnsi="Times New Roman"/>
          <w:b w:val="0"/>
          <w:i w:val="0"/>
          <w:sz w:val="24"/>
        </w:rPr>
        <w:t>B(f₁, f₂) = E[X(f₁) · X(f₂) · X*(f₁ + f₂)]</w:t>
      </w:r>
    </w:p>
    <w:p>
      <w:pPr>
        <w:spacing w:line="480" w:lineRule="auto" w:after="0" w:before="0"/>
        <w:ind w:firstLine="720"/>
      </w:pPr>
      <w:r>
        <w:rPr>
          <w:rFonts w:ascii="Times New Roman" w:hAnsi="Times New Roman"/>
          <w:b w:val="0"/>
          <w:i w:val="0"/>
          <w:sz w:val="24"/>
        </w:rPr>
        <w:t>where X(f) is the discrete Fourier transform and E[·] denotes the ensemble average over segments. The normalized bicoherence was computed as |B(f₁, f₂)|² / max|B|². Non-zero bicoherence indicates quadratic phase coupling between frequency components f₁, f₂, and f₁ + f₂, which is a necessary signature of nonlinear acoustic interaction relevant to the beat frequency hypothesis.</w:t>
      </w:r>
    </w:p>
    <w:p>
      <w:pPr>
        <w:spacing w:line="480" w:lineRule="auto" w:before="240" w:after="0"/>
        <w:jc w:val="left"/>
      </w:pPr>
      <w:r>
        <w:rPr>
          <w:rFonts w:ascii="Times New Roman" w:hAnsi="Times New Roman"/>
          <w:i/>
          <w:sz w:val="24"/>
        </w:rPr>
        <w:t>4. Information entropy and Zipf analysis</w:t>
      </w:r>
    </w:p>
    <w:p>
      <w:pPr>
        <w:spacing w:line="480" w:lineRule="auto" w:after="0" w:before="0"/>
        <w:ind w:firstLine="720"/>
      </w:pPr>
      <w:r>
        <w:rPr>
          <w:rFonts w:ascii="Times New Roman" w:hAnsi="Times New Roman"/>
          <w:b w:val="0"/>
          <w:i w:val="0"/>
          <w:sz w:val="24"/>
        </w:rPr>
        <w:t>The Shannon entropy of the power spectral density (PSD) was computed as:</w:t>
      </w:r>
    </w:p>
    <w:p>
      <w:pPr>
        <w:spacing w:line="480" w:lineRule="auto" w:after="0" w:before="0"/>
        <w:jc w:val="center"/>
      </w:pPr>
      <w:r>
        <w:rPr>
          <w:rFonts w:ascii="Times New Roman" w:hAnsi="Times New Roman"/>
          <w:b w:val="0"/>
          <w:i w:val="0"/>
          <w:sz w:val="24"/>
        </w:rPr>
        <w:t>H = −Σ p(fₖ) log₂ p(fₖ)</w:t>
      </w:r>
    </w:p>
    <w:p>
      <w:pPr>
        <w:spacing w:line="480" w:lineRule="auto" w:after="0" w:before="0"/>
        <w:ind w:firstLine="720"/>
      </w:pPr>
      <w:r>
        <w:rPr>
          <w:rFonts w:ascii="Times New Roman" w:hAnsi="Times New Roman"/>
          <w:b w:val="0"/>
          <w:i w:val="0"/>
          <w:sz w:val="24"/>
        </w:rPr>
        <w:t>where p(fₖ) is the normalized PSD at frequency bin fₖ obtained via Welch’s method. Higher entropy reflects a flatter (more complex) spectral distribution, while lower entropy indicates concentration in fewer frequency bands. Additionally, the rank-frequency distribution of PSD components was fitted to Zipf’s law (rank⁻ᵅ) using log-log linear regression to assess language-like statistical structure.</w:t>
      </w:r>
    </w:p>
    <w:p>
      <w:pPr>
        <w:spacing w:line="480" w:lineRule="auto" w:before="240" w:after="0"/>
        <w:jc w:val="left"/>
      </w:pPr>
      <w:r>
        <w:rPr>
          <w:rFonts w:ascii="Times New Roman" w:hAnsi="Times New Roman"/>
          <w:i/>
          <w:sz w:val="24"/>
        </w:rPr>
        <w:t>5. Temporal structure analysis</w:t>
      </w:r>
    </w:p>
    <w:p>
      <w:pPr>
        <w:spacing w:line="480" w:lineRule="auto" w:after="0" w:before="0"/>
        <w:ind w:firstLine="720"/>
      </w:pPr>
      <w:r>
        <w:rPr>
          <w:rFonts w:ascii="Times New Roman" w:hAnsi="Times New Roman"/>
          <w:b w:val="0"/>
          <w:i w:val="0"/>
          <w:sz w:val="24"/>
        </w:rPr>
        <w:t>Four temporal metrics were computed: (i) autocorrelation function to detect periodic structure; (ii) cross-correlation between recordings to assess within-species signal consistency; (iii) spectral flatness (Wiener entropy), defined as the ratio of geometric mean to arithmetic mean of the PSD, where values near zero indicate tonal signals and values near one indicate noise-like signals; and (iv) temporal modulation spectra computed via the Fourier transform of the signal envelope.</w:t>
      </w:r>
    </w:p>
    <w:p>
      <w:pPr>
        <w:spacing w:line="480" w:lineRule="auto" w:before="240" w:after="0"/>
        <w:jc w:val="left"/>
      </w:pPr>
      <w:r>
        <w:rPr>
          <w:rFonts w:ascii="Times New Roman" w:hAnsi="Times New Roman"/>
          <w:i/>
          <w:sz w:val="24"/>
        </w:rPr>
        <w:t>6. CDMA-like orthogonality test</w:t>
      </w:r>
    </w:p>
    <w:p>
      <w:pPr>
        <w:spacing w:line="480" w:lineRule="auto" w:after="0" w:before="0"/>
        <w:ind w:firstLine="720"/>
      </w:pPr>
      <w:r>
        <w:rPr>
          <w:rFonts w:ascii="Times New Roman" w:hAnsi="Times New Roman"/>
          <w:b w:val="0"/>
          <w:i w:val="0"/>
          <w:sz w:val="24"/>
        </w:rPr>
        <w:t>To test the code division hypothesis, normalized power spectra were treated as spectral "codes" for each recording. Pairwise Pearson correlations were computed between all spectral codes and partitioned into within-species and between-species groups. The Mann-Whitney U test was used to assess whether within-species correlations were significantly higher than between-species correlations. A significant difference indicates that species possess distinguishable spectral signatures—a necessary (though not sufficient) condition for CDMA-like code-division communication.</w:t>
      </w:r>
    </w:p>
    <w:p>
      <w:pPr>
        <w:spacing w:line="480" w:lineRule="auto" w:before="240" w:after="0"/>
        <w:jc w:val="center"/>
      </w:pPr>
      <w:r>
        <w:rPr>
          <w:rFonts w:ascii="Times New Roman" w:hAnsi="Times New Roman"/>
          <w:b/>
          <w:sz w:val="24"/>
        </w:rPr>
        <w:t>III. RESULTS</w:t>
      </w:r>
    </w:p>
    <w:p>
      <w:pPr>
        <w:spacing w:line="480" w:lineRule="auto" w:before="240" w:after="0"/>
        <w:jc w:val="left"/>
      </w:pPr>
      <w:r>
        <w:rPr>
          <w:rFonts w:ascii="Times New Roman" w:hAnsi="Times New Roman"/>
          <w:b/>
          <w:i/>
          <w:sz w:val="24"/>
        </w:rPr>
        <w:t>A. Spectral features</w:t>
      </w:r>
    </w:p>
    <w:p>
      <w:pPr>
        <w:spacing w:line="480" w:lineRule="auto" w:after="0" w:before="0"/>
        <w:ind w:firstLine="720"/>
      </w:pPr>
      <w:r>
        <w:rPr>
          <w:rFonts w:ascii="Times New Roman" w:hAnsi="Times New Roman"/>
          <w:b w:val="0"/>
          <w:i w:val="0"/>
          <w:sz w:val="24"/>
        </w:rPr>
        <w:t>Clear interspecific differences were observed in spectral features (TABLE II; FIGS. 1–6). Fin whales exhibited the lowest spectral centroid (37 Hz), consistent with their specialization in long-distance infrasonic communication through the SOFAR channel. Bottlenose dolphins showed the highest centroid (3,791 Hz), reflecting their broadband click and whistle repertoire. Sperm whales (2,323 Hz) and killer whales (1,788 Hz) occupied intermediate positions.</w:t>
      </w:r>
    </w:p>
    <w:p>
      <w:pPr>
        <w:spacing w:line="480" w:lineRule="auto" w:after="0" w:before="0"/>
      </w:pPr>
      <w:r>
        <w:rPr>
          <w:rFonts w:ascii="Times New Roman" w:hAnsi="Times New Roman"/>
          <w:b w:val="0"/>
          <w:i/>
          <w:sz w:val="24"/>
        </w:rPr>
        <w:t>[FIG. 1 -- image file not found: spectrogram_Sperm_Whale_en.png]</w:t>
      </w:r>
    </w:p>
    <w:p>
      <w:pPr>
        <w:spacing w:line="480" w:lineRule="auto" w:after="0" w:before="0"/>
      </w:pPr>
      <w:r>
        <w:rPr>
          <w:rFonts w:ascii="Times New Roman" w:hAnsi="Times New Roman"/>
          <w:b w:val="0"/>
          <w:i/>
          <w:sz w:val="24"/>
        </w:rPr>
        <w:t>[FIG. 2 -- image file not found: spectrogram_Humpback_Whale_en.png]</w:t>
      </w:r>
    </w:p>
    <w:p>
      <w:pPr>
        <w:spacing w:line="480" w:lineRule="auto" w:after="0" w:before="0"/>
      </w:pPr>
      <w:r>
        <w:rPr>
          <w:rFonts w:ascii="Times New Roman" w:hAnsi="Times New Roman"/>
          <w:b w:val="0"/>
          <w:i/>
          <w:sz w:val="24"/>
        </w:rPr>
        <w:t>[FIG. 3 -- image file not found: spectrogram_Killer_Whale_en.png]</w:t>
      </w:r>
    </w:p>
    <w:p>
      <w:pPr>
        <w:spacing w:line="480" w:lineRule="auto" w:after="0" w:before="0"/>
      </w:pPr>
      <w:r>
        <w:rPr>
          <w:rFonts w:ascii="Times New Roman" w:hAnsi="Times New Roman"/>
          <w:b w:val="0"/>
          <w:i/>
          <w:sz w:val="24"/>
        </w:rPr>
        <w:t>[FIG. 4 -- image file not found: spectrogram_Fin_Finback_Whale_en.png]</w:t>
      </w:r>
    </w:p>
    <w:p>
      <w:pPr>
        <w:spacing w:line="480" w:lineRule="auto" w:after="0" w:before="0"/>
      </w:pPr>
      <w:r>
        <w:rPr>
          <w:rFonts w:ascii="Times New Roman" w:hAnsi="Times New Roman"/>
          <w:b w:val="0"/>
          <w:i/>
          <w:sz w:val="24"/>
        </w:rPr>
        <w:t>[FIG. 5 -- image file not found: spectrogram_Bottlenose_Dolphin_en.png]</w:t>
      </w:r>
    </w:p>
    <w:p>
      <w:pPr>
        <w:spacing w:line="480" w:lineRule="auto" w:after="0" w:before="0"/>
      </w:pPr>
      <w:r>
        <w:rPr>
          <w:rFonts w:ascii="Times New Roman" w:hAnsi="Times New Roman"/>
          <w:b w:val="0"/>
          <w:i/>
          <w:sz w:val="24"/>
        </w:rPr>
        <w:t>[FIG. 6 -- image file not found: spectrogram_Beluga_White_Whale_en.png]</w:t>
      </w:r>
    </w:p>
    <w:p>
      <w:pPr>
        <w:spacing w:line="480" w:lineRule="auto" w:after="0" w:before="0"/>
      </w:pPr>
      <w:r>
        <w:rPr>
          <w:rFonts w:ascii="Times New Roman" w:hAnsi="Times New Roman"/>
          <w:b w:val="0"/>
          <w:i w:val="0"/>
          <w:sz w:val="24"/>
        </w:rPr>
      </w:r>
    </w:p>
    <w:p>
      <w:pPr>
        <w:spacing w:line="480" w:lineRule="auto"/>
      </w:pPr>
      <w:r>
        <w:rPr>
          <w:rFonts w:ascii="Times New Roman" w:hAnsi="Times New Roman"/>
          <w:b/>
          <w:sz w:val="20"/>
        </w:rPr>
        <w:t xml:space="preserve">TABLE II. </w:t>
      </w:r>
      <w:r>
        <w:rPr>
          <w:rFonts w:ascii="Times New Roman" w:hAnsi="Times New Roman"/>
          <w:sz w:val="20"/>
        </w:rPr>
        <w:t>Acoustic features of six marine mammal species. Spectral centroid, Shannon entropy, and mean bicoherence (off-diagonal) are reported as means across recordings.</w:t>
      </w:r>
    </w:p>
    <w:tbl>
      <w:tblPr>
        <w:tblW w:type="auto" w:w="0"/>
        <w:tblLayout w:type="autofit"/>
        <w:tblLook w:firstColumn="1" w:firstRow="1" w:lastColumn="0" w:lastRow="0" w:noHBand="0" w:noVBand="1" w:val="04A0"/>
        <w:tblBorders>
          <w:top w:val="single" w:sz="12" w:space="0" w:color="000000"/>
          <w:bottom w:val="single" w:sz="12" w:space="0" w:color="000000"/>
          <w:insideH w:val="single" w:sz="4" w:space="0" w:color="000000"/>
          <w:left w:val="none" w:sz="0" w:space="0" w:color="000000"/>
          <w:right w:val="none" w:sz="0" w:space="0" w:color="000000"/>
          <w:insideV w:val="none" w:sz="0" w:space="0" w:color="000000"/>
        </w:tblBorders>
      </w:tblPr>
      <w:tblGrid>
        <w:gridCol w:w="1872"/>
        <w:gridCol w:w="1872"/>
        <w:gridCol w:w="1872"/>
        <w:gridCol w:w="1872"/>
        <w:gridCol w:w="1872"/>
      </w:tblGrid>
      <w:tr>
        <w:tc>
          <w:tcPr>
            <w:tcW w:type="dxa" w:w="1872"/>
          </w:tcPr>
          <w:p>
            <w:pPr>
              <w:spacing w:before="40" w:after="40"/>
            </w:pPr>
            <w:r/>
            <w:r>
              <w:rPr>
                <w:rFonts w:ascii="Times New Roman" w:hAnsi="Times New Roman"/>
                <w:b/>
                <w:i w:val="0"/>
                <w:sz w:val="18"/>
              </w:rPr>
              <w:t>Species</w:t>
            </w:r>
          </w:p>
        </w:tc>
        <w:tc>
          <w:tcPr>
            <w:tcW w:type="dxa" w:w="1872"/>
          </w:tcPr>
          <w:p>
            <w:pPr>
              <w:spacing w:before="40" w:after="40"/>
            </w:pPr>
            <w:r/>
            <w:r>
              <w:rPr>
                <w:rFonts w:ascii="Times New Roman" w:hAnsi="Times New Roman"/>
                <w:b/>
                <w:i w:val="0"/>
                <w:sz w:val="18"/>
              </w:rPr>
              <w:t>Spectral centroid (Hz)</w:t>
            </w:r>
          </w:p>
        </w:tc>
        <w:tc>
          <w:tcPr>
            <w:tcW w:type="dxa" w:w="1872"/>
          </w:tcPr>
          <w:p>
            <w:pPr>
              <w:spacing w:before="40" w:after="40"/>
            </w:pPr>
            <w:r/>
            <w:r>
              <w:rPr>
                <w:rFonts w:ascii="Times New Roman" w:hAnsi="Times New Roman"/>
                <w:b/>
                <w:i w:val="0"/>
                <w:sz w:val="18"/>
              </w:rPr>
              <w:t>Bandwidth (Hz)</w:t>
            </w:r>
          </w:p>
        </w:tc>
        <w:tc>
          <w:tcPr>
            <w:tcW w:type="dxa" w:w="1872"/>
          </w:tcPr>
          <w:p>
            <w:pPr>
              <w:spacing w:before="40" w:after="40"/>
            </w:pPr>
            <w:r/>
            <w:r>
              <w:rPr>
                <w:rFonts w:ascii="Times New Roman" w:hAnsi="Times New Roman"/>
                <w:b/>
                <w:i w:val="0"/>
                <w:sz w:val="18"/>
              </w:rPr>
              <w:t>Shannon entropy (bits)</w:t>
            </w:r>
          </w:p>
        </w:tc>
        <w:tc>
          <w:tcPr>
            <w:tcW w:type="dxa" w:w="1872"/>
          </w:tcPr>
          <w:p>
            <w:pPr>
              <w:spacing w:before="40" w:after="40"/>
            </w:pPr>
            <w:r/>
            <w:r>
              <w:rPr>
                <w:rFonts w:ascii="Times New Roman" w:hAnsi="Times New Roman"/>
                <w:b/>
                <w:i w:val="0"/>
                <w:sz w:val="18"/>
              </w:rPr>
              <w:t>Mean bicoherence</w:t>
            </w:r>
          </w:p>
        </w:tc>
      </w:tr>
      <w:tr>
        <w:tc>
          <w:tcPr>
            <w:tcW w:type="dxa" w:w="1872"/>
          </w:tcPr>
          <w:p>
            <w:pPr>
              <w:spacing w:before="40" w:after="40"/>
            </w:pPr>
            <w:r/>
            <w:r>
              <w:rPr>
                <w:rFonts w:ascii="Times New Roman" w:hAnsi="Times New Roman"/>
                <w:b w:val="0"/>
                <w:i w:val="0"/>
                <w:sz w:val="18"/>
              </w:rPr>
              <w:t>Sperm whale</w:t>
            </w:r>
          </w:p>
        </w:tc>
        <w:tc>
          <w:tcPr>
            <w:tcW w:type="dxa" w:w="1872"/>
          </w:tcPr>
          <w:p>
            <w:pPr>
              <w:spacing w:before="40" w:after="40"/>
            </w:pPr>
            <w:r/>
            <w:r>
              <w:rPr>
                <w:rFonts w:ascii="Times New Roman" w:hAnsi="Times New Roman"/>
                <w:b w:val="0"/>
                <w:i w:val="0"/>
                <w:sz w:val="18"/>
              </w:rPr>
              <w:t>2,323</w:t>
            </w:r>
          </w:p>
        </w:tc>
        <w:tc>
          <w:tcPr>
            <w:tcW w:type="dxa" w:w="1872"/>
          </w:tcPr>
          <w:p>
            <w:pPr>
              <w:spacing w:before="40" w:after="40"/>
            </w:pPr>
            <w:r/>
            <w:r>
              <w:rPr>
                <w:rFonts w:ascii="Times New Roman" w:hAnsi="Times New Roman"/>
                <w:b w:val="0"/>
                <w:i w:val="0"/>
                <w:sz w:val="18"/>
              </w:rPr>
              <w:t>1,849</w:t>
            </w:r>
          </w:p>
        </w:tc>
        <w:tc>
          <w:tcPr>
            <w:tcW w:type="dxa" w:w="1872"/>
          </w:tcPr>
          <w:p>
            <w:pPr>
              <w:spacing w:before="40" w:after="40"/>
            </w:pPr>
            <w:r/>
            <w:r>
              <w:rPr>
                <w:rFonts w:ascii="Times New Roman" w:hAnsi="Times New Roman"/>
                <w:b w:val="0"/>
                <w:i w:val="0"/>
                <w:sz w:val="18"/>
              </w:rPr>
              <w:t>7.43</w:t>
            </w:r>
          </w:p>
        </w:tc>
        <w:tc>
          <w:tcPr>
            <w:tcW w:type="dxa" w:w="1872"/>
          </w:tcPr>
          <w:p>
            <w:pPr>
              <w:spacing w:before="40" w:after="40"/>
            </w:pPr>
            <w:r/>
            <w:r>
              <w:rPr>
                <w:rFonts w:ascii="Times New Roman" w:hAnsi="Times New Roman"/>
                <w:b w:val="0"/>
                <w:i w:val="0"/>
                <w:sz w:val="18"/>
              </w:rPr>
              <w:t>7.51 × 10⁻⁴</w:t>
            </w:r>
          </w:p>
        </w:tc>
      </w:tr>
      <w:tr>
        <w:tc>
          <w:tcPr>
            <w:tcW w:type="dxa" w:w="1872"/>
          </w:tcPr>
          <w:p>
            <w:pPr>
              <w:spacing w:before="40" w:after="40"/>
            </w:pPr>
            <w:r/>
            <w:r>
              <w:rPr>
                <w:rFonts w:ascii="Times New Roman" w:hAnsi="Times New Roman"/>
                <w:b w:val="0"/>
                <w:i w:val="0"/>
                <w:sz w:val="18"/>
              </w:rPr>
              <w:t>Humpback whale</w:t>
            </w:r>
          </w:p>
        </w:tc>
        <w:tc>
          <w:tcPr>
            <w:tcW w:type="dxa" w:w="1872"/>
          </w:tcPr>
          <w:p>
            <w:pPr>
              <w:spacing w:before="40" w:after="40"/>
            </w:pPr>
            <w:r/>
            <w:r>
              <w:rPr>
                <w:rFonts w:ascii="Times New Roman" w:hAnsi="Times New Roman"/>
                <w:b w:val="0"/>
                <w:i w:val="0"/>
                <w:sz w:val="18"/>
              </w:rPr>
              <w:t>593</w:t>
            </w:r>
          </w:p>
        </w:tc>
        <w:tc>
          <w:tcPr>
            <w:tcW w:type="dxa" w:w="1872"/>
          </w:tcPr>
          <w:p>
            <w:pPr>
              <w:spacing w:before="40" w:after="40"/>
            </w:pPr>
            <w:r/>
            <w:r>
              <w:rPr>
                <w:rFonts w:ascii="Times New Roman" w:hAnsi="Times New Roman"/>
                <w:b w:val="0"/>
                <w:i w:val="0"/>
                <w:sz w:val="18"/>
              </w:rPr>
              <w:t>389</w:t>
            </w:r>
          </w:p>
        </w:tc>
        <w:tc>
          <w:tcPr>
            <w:tcW w:type="dxa" w:w="1872"/>
          </w:tcPr>
          <w:p>
            <w:pPr>
              <w:spacing w:before="40" w:after="40"/>
            </w:pPr>
            <w:r/>
            <w:r>
              <w:rPr>
                <w:rFonts w:ascii="Times New Roman" w:hAnsi="Times New Roman"/>
                <w:b w:val="0"/>
                <w:i w:val="0"/>
                <w:sz w:val="18"/>
              </w:rPr>
              <w:t>4.47</w:t>
            </w:r>
          </w:p>
        </w:tc>
        <w:tc>
          <w:tcPr>
            <w:tcW w:type="dxa" w:w="1872"/>
          </w:tcPr>
          <w:p>
            <w:pPr>
              <w:spacing w:before="40" w:after="40"/>
            </w:pPr>
            <w:r/>
            <w:r>
              <w:rPr>
                <w:rFonts w:ascii="Times New Roman" w:hAnsi="Times New Roman"/>
                <w:b w:val="0"/>
                <w:i w:val="0"/>
                <w:sz w:val="18"/>
              </w:rPr>
              <w:t>2.85 × 10⁻⁴</w:t>
            </w:r>
          </w:p>
        </w:tc>
      </w:tr>
      <w:tr>
        <w:tc>
          <w:tcPr>
            <w:tcW w:type="dxa" w:w="1872"/>
          </w:tcPr>
          <w:p>
            <w:pPr>
              <w:spacing w:before="40" w:after="40"/>
            </w:pPr>
            <w:r/>
            <w:r>
              <w:rPr>
                <w:rFonts w:ascii="Times New Roman" w:hAnsi="Times New Roman"/>
                <w:b w:val="0"/>
                <w:i w:val="0"/>
                <w:sz w:val="18"/>
              </w:rPr>
              <w:t>Killer whale</w:t>
            </w:r>
          </w:p>
        </w:tc>
        <w:tc>
          <w:tcPr>
            <w:tcW w:type="dxa" w:w="1872"/>
          </w:tcPr>
          <w:p>
            <w:pPr>
              <w:spacing w:before="40" w:after="40"/>
            </w:pPr>
            <w:r/>
            <w:r>
              <w:rPr>
                <w:rFonts w:ascii="Times New Roman" w:hAnsi="Times New Roman"/>
                <w:b w:val="0"/>
                <w:i w:val="0"/>
                <w:sz w:val="18"/>
              </w:rPr>
              <w:t>1,788</w:t>
            </w:r>
          </w:p>
        </w:tc>
        <w:tc>
          <w:tcPr>
            <w:tcW w:type="dxa" w:w="1872"/>
          </w:tcPr>
          <w:p>
            <w:pPr>
              <w:spacing w:before="40" w:after="40"/>
            </w:pPr>
            <w:r/>
            <w:r>
              <w:rPr>
                <w:rFonts w:ascii="Times New Roman" w:hAnsi="Times New Roman"/>
                <w:b w:val="0"/>
                <w:i w:val="0"/>
                <w:sz w:val="18"/>
              </w:rPr>
              <w:t>1,276</w:t>
            </w:r>
          </w:p>
        </w:tc>
        <w:tc>
          <w:tcPr>
            <w:tcW w:type="dxa" w:w="1872"/>
          </w:tcPr>
          <w:p>
            <w:pPr>
              <w:spacing w:before="40" w:after="40"/>
            </w:pPr>
            <w:r/>
            <w:r>
              <w:rPr>
                <w:rFonts w:ascii="Times New Roman" w:hAnsi="Times New Roman"/>
                <w:b w:val="0"/>
                <w:i w:val="0"/>
                <w:sz w:val="18"/>
              </w:rPr>
              <w:t>6.65</w:t>
            </w:r>
          </w:p>
        </w:tc>
        <w:tc>
          <w:tcPr>
            <w:tcW w:type="dxa" w:w="1872"/>
          </w:tcPr>
          <w:p>
            <w:pPr>
              <w:spacing w:before="40" w:after="40"/>
            </w:pPr>
            <w:r/>
            <w:r>
              <w:rPr>
                <w:rFonts w:ascii="Times New Roman" w:hAnsi="Times New Roman"/>
                <w:b w:val="0"/>
                <w:i w:val="0"/>
                <w:sz w:val="18"/>
              </w:rPr>
              <w:t>1.31 × 10⁻⁴</w:t>
            </w:r>
          </w:p>
        </w:tc>
      </w:tr>
      <w:tr>
        <w:tc>
          <w:tcPr>
            <w:tcW w:type="dxa" w:w="1872"/>
          </w:tcPr>
          <w:p>
            <w:pPr>
              <w:spacing w:before="40" w:after="40"/>
            </w:pPr>
            <w:r/>
            <w:r>
              <w:rPr>
                <w:rFonts w:ascii="Times New Roman" w:hAnsi="Times New Roman"/>
                <w:b w:val="0"/>
                <w:i w:val="0"/>
                <w:sz w:val="18"/>
              </w:rPr>
              <w:t>Fin whale</w:t>
            </w:r>
          </w:p>
        </w:tc>
        <w:tc>
          <w:tcPr>
            <w:tcW w:type="dxa" w:w="1872"/>
          </w:tcPr>
          <w:p>
            <w:pPr>
              <w:spacing w:before="40" w:after="40"/>
            </w:pPr>
            <w:r/>
            <w:r>
              <w:rPr>
                <w:rFonts w:ascii="Times New Roman" w:hAnsi="Times New Roman"/>
                <w:b w:val="0"/>
                <w:i w:val="0"/>
                <w:sz w:val="18"/>
              </w:rPr>
              <w:t>37</w:t>
            </w:r>
          </w:p>
        </w:tc>
        <w:tc>
          <w:tcPr>
            <w:tcW w:type="dxa" w:w="1872"/>
          </w:tcPr>
          <w:p>
            <w:pPr>
              <w:spacing w:before="40" w:after="40"/>
            </w:pPr>
            <w:r/>
            <w:r>
              <w:rPr>
                <w:rFonts w:ascii="Times New Roman" w:hAnsi="Times New Roman"/>
                <w:b w:val="0"/>
                <w:i w:val="0"/>
                <w:sz w:val="18"/>
              </w:rPr>
              <w:t>29</w:t>
            </w:r>
          </w:p>
        </w:tc>
        <w:tc>
          <w:tcPr>
            <w:tcW w:type="dxa" w:w="1872"/>
          </w:tcPr>
          <w:p>
            <w:pPr>
              <w:spacing w:before="40" w:after="40"/>
            </w:pPr>
            <w:r/>
            <w:r>
              <w:rPr>
                <w:rFonts w:ascii="Times New Roman" w:hAnsi="Times New Roman"/>
                <w:b w:val="0"/>
                <w:i w:val="0"/>
                <w:sz w:val="18"/>
              </w:rPr>
              <w:t>2.28</w:t>
            </w:r>
          </w:p>
        </w:tc>
        <w:tc>
          <w:tcPr>
            <w:tcW w:type="dxa" w:w="1872"/>
          </w:tcPr>
          <w:p>
            <w:pPr>
              <w:spacing w:before="40" w:after="40"/>
            </w:pPr>
            <w:r/>
            <w:r>
              <w:rPr>
                <w:rFonts w:ascii="Times New Roman" w:hAnsi="Times New Roman"/>
                <w:b w:val="0"/>
                <w:i w:val="0"/>
                <w:sz w:val="18"/>
              </w:rPr>
              <w:t>1.24 × 10⁻⁴</w:t>
            </w:r>
          </w:p>
        </w:tc>
      </w:tr>
      <w:tr>
        <w:tc>
          <w:tcPr>
            <w:tcW w:type="dxa" w:w="1872"/>
          </w:tcPr>
          <w:p>
            <w:pPr>
              <w:spacing w:before="40" w:after="40"/>
            </w:pPr>
            <w:r/>
            <w:r>
              <w:rPr>
                <w:rFonts w:ascii="Times New Roman" w:hAnsi="Times New Roman"/>
                <w:b w:val="0"/>
                <w:i w:val="0"/>
                <w:sz w:val="18"/>
              </w:rPr>
              <w:t>Bottlenose dolphin</w:t>
            </w:r>
          </w:p>
        </w:tc>
        <w:tc>
          <w:tcPr>
            <w:tcW w:type="dxa" w:w="1872"/>
          </w:tcPr>
          <w:p>
            <w:pPr>
              <w:spacing w:before="40" w:after="40"/>
            </w:pPr>
            <w:r/>
            <w:r>
              <w:rPr>
                <w:rFonts w:ascii="Times New Roman" w:hAnsi="Times New Roman"/>
                <w:b w:val="0"/>
                <w:i w:val="0"/>
                <w:sz w:val="18"/>
              </w:rPr>
              <w:t>3,791</w:t>
            </w:r>
          </w:p>
        </w:tc>
        <w:tc>
          <w:tcPr>
            <w:tcW w:type="dxa" w:w="1872"/>
          </w:tcPr>
          <w:p>
            <w:pPr>
              <w:spacing w:before="40" w:after="40"/>
            </w:pPr>
            <w:r/>
            <w:r>
              <w:rPr>
                <w:rFonts w:ascii="Times New Roman" w:hAnsi="Times New Roman"/>
                <w:b w:val="0"/>
                <w:i w:val="0"/>
                <w:sz w:val="18"/>
              </w:rPr>
              <w:t>2,444</w:t>
            </w:r>
          </w:p>
        </w:tc>
        <w:tc>
          <w:tcPr>
            <w:tcW w:type="dxa" w:w="1872"/>
          </w:tcPr>
          <w:p>
            <w:pPr>
              <w:spacing w:before="40" w:after="40"/>
            </w:pPr>
            <w:r/>
            <w:r>
              <w:rPr>
                <w:rFonts w:ascii="Times New Roman" w:hAnsi="Times New Roman"/>
                <w:b w:val="0"/>
                <w:i w:val="0"/>
                <w:sz w:val="18"/>
              </w:rPr>
              <w:t>5.77</w:t>
            </w:r>
          </w:p>
        </w:tc>
        <w:tc>
          <w:tcPr>
            <w:tcW w:type="dxa" w:w="1872"/>
          </w:tcPr>
          <w:p>
            <w:pPr>
              <w:spacing w:before="40" w:after="40"/>
            </w:pPr>
            <w:r/>
            <w:r>
              <w:rPr>
                <w:rFonts w:ascii="Times New Roman" w:hAnsi="Times New Roman"/>
                <w:b w:val="0"/>
                <w:i w:val="0"/>
                <w:sz w:val="18"/>
              </w:rPr>
              <w:t>3.40 × 10⁻⁴</w:t>
            </w:r>
          </w:p>
        </w:tc>
      </w:tr>
      <w:tr>
        <w:tc>
          <w:tcPr>
            <w:tcW w:type="dxa" w:w="1872"/>
          </w:tcPr>
          <w:p>
            <w:pPr>
              <w:spacing w:before="40" w:after="40"/>
            </w:pPr>
            <w:r/>
            <w:r>
              <w:rPr>
                <w:rFonts w:ascii="Times New Roman" w:hAnsi="Times New Roman"/>
                <w:b w:val="0"/>
                <w:i w:val="0"/>
                <w:sz w:val="18"/>
              </w:rPr>
              <w:t>Beluga whale</w:t>
            </w:r>
          </w:p>
        </w:tc>
        <w:tc>
          <w:tcPr>
            <w:tcW w:type="dxa" w:w="1872"/>
          </w:tcPr>
          <w:p>
            <w:pPr>
              <w:spacing w:before="40" w:after="40"/>
            </w:pPr>
            <w:r/>
            <w:r>
              <w:rPr>
                <w:rFonts w:ascii="Times New Roman" w:hAnsi="Times New Roman"/>
                <w:b w:val="0"/>
                <w:i w:val="0"/>
                <w:sz w:val="18"/>
              </w:rPr>
              <w:t>1,218</w:t>
            </w:r>
          </w:p>
        </w:tc>
        <w:tc>
          <w:tcPr>
            <w:tcW w:type="dxa" w:w="1872"/>
          </w:tcPr>
          <w:p>
            <w:pPr>
              <w:spacing w:before="40" w:after="40"/>
            </w:pPr>
            <w:r/>
            <w:r>
              <w:rPr>
                <w:rFonts w:ascii="Times New Roman" w:hAnsi="Times New Roman"/>
                <w:b w:val="0"/>
                <w:i w:val="0"/>
                <w:sz w:val="18"/>
              </w:rPr>
              <w:t>1,610</w:t>
            </w:r>
          </w:p>
        </w:tc>
        <w:tc>
          <w:tcPr>
            <w:tcW w:type="dxa" w:w="1872"/>
          </w:tcPr>
          <w:p>
            <w:pPr>
              <w:spacing w:before="40" w:after="40"/>
            </w:pPr>
            <w:r/>
            <w:r>
              <w:rPr>
                <w:rFonts w:ascii="Times New Roman" w:hAnsi="Times New Roman"/>
                <w:b w:val="0"/>
                <w:i w:val="0"/>
                <w:sz w:val="18"/>
              </w:rPr>
              <w:t>6.17</w:t>
            </w:r>
          </w:p>
        </w:tc>
        <w:tc>
          <w:tcPr>
            <w:tcW w:type="dxa" w:w="1872"/>
          </w:tcPr>
          <w:p>
            <w:pPr>
              <w:spacing w:before="40" w:after="40"/>
            </w:pPr>
            <w:r/>
            <w:r>
              <w:rPr>
                <w:rFonts w:ascii="Times New Roman" w:hAnsi="Times New Roman"/>
                <w:b w:val="0"/>
                <w:i w:val="0"/>
                <w:sz w:val="18"/>
              </w:rPr>
              <w:t>3.87 × 10⁻⁴</w:t>
            </w:r>
          </w:p>
        </w:tc>
      </w:tr>
    </w:tbl>
    <w:p>
      <w:pPr>
        <w:spacing w:line="480" w:lineRule="auto" w:after="0" w:before="0"/>
      </w:pPr>
      <w:r>
        <w:rPr>
          <w:rFonts w:ascii="Times New Roman" w:hAnsi="Times New Roman"/>
          <w:b w:val="0"/>
          <w:i w:val="0"/>
          <w:sz w:val="24"/>
        </w:rPr>
      </w:r>
    </w:p>
    <w:p>
      <w:pPr>
        <w:spacing w:line="480" w:lineRule="auto" w:before="240" w:after="0"/>
        <w:jc w:val="left"/>
      </w:pPr>
      <w:r>
        <w:rPr>
          <w:rFonts w:ascii="Times New Roman" w:hAnsi="Times New Roman"/>
          <w:b/>
          <w:i/>
          <w:sz w:val="24"/>
        </w:rPr>
        <w:t>B. Inter-click interval analysis</w:t>
      </w:r>
    </w:p>
    <w:p>
      <w:pPr>
        <w:spacing w:line="480" w:lineRule="auto" w:after="0" w:before="0"/>
        <w:ind w:firstLine="720"/>
      </w:pPr>
      <w:r>
        <w:rPr>
          <w:rFonts w:ascii="Times New Roman" w:hAnsi="Times New Roman"/>
          <w:b w:val="0"/>
          <w:i w:val="0"/>
          <w:sz w:val="24"/>
        </w:rPr>
        <w:t>Click train analysis revealed species-specific ICI distributions (FIGS. 7–9). Sperm whale recordings showed median ICI values of 21.2–117.1 ms, with substantial inter-individual variation consistent with individually distinctive coda patterns reported by Oliveira et al. (2016). Killer whales showed an ICI range of 2.6–129.4 ms, and bottlenose dolphins exhibited ICIs of 9.7–11.5 ms, reflecting their high-repetition-rate echolocation clicks.</w:t>
      </w:r>
    </w:p>
    <w:p>
      <w:pPr>
        <w:spacing w:line="480" w:lineRule="auto" w:after="0" w:before="0"/>
      </w:pPr>
      <w:r>
        <w:rPr>
          <w:rFonts w:ascii="Times New Roman" w:hAnsi="Times New Roman"/>
          <w:b w:val="0"/>
          <w:i/>
          <w:sz w:val="24"/>
        </w:rPr>
        <w:t>[FIG. 7 -- image file not found: ici_Sperm_Whale_en.png]</w:t>
      </w:r>
    </w:p>
    <w:p>
      <w:pPr>
        <w:spacing w:line="480" w:lineRule="auto" w:after="0" w:before="0"/>
      </w:pPr>
      <w:r>
        <w:rPr>
          <w:rFonts w:ascii="Times New Roman" w:hAnsi="Times New Roman"/>
          <w:b w:val="0"/>
          <w:i/>
          <w:sz w:val="24"/>
        </w:rPr>
        <w:t>[FIG. 8 -- image file not found: ici_Killer_Whale_en.png]</w:t>
      </w:r>
    </w:p>
    <w:p>
      <w:pPr>
        <w:spacing w:line="480" w:lineRule="auto" w:after="0" w:before="0"/>
      </w:pPr>
      <w:r>
        <w:rPr>
          <w:rFonts w:ascii="Times New Roman" w:hAnsi="Times New Roman"/>
          <w:b w:val="0"/>
          <w:i/>
          <w:sz w:val="24"/>
        </w:rPr>
        <w:t>[FIG. 9 -- image file not found: ici_Bottlenose_Dolphin_en.png]</w:t>
      </w:r>
    </w:p>
    <w:p>
      <w:pPr>
        <w:spacing w:line="480" w:lineRule="auto" w:after="0" w:before="0"/>
      </w:pPr>
      <w:r>
        <w:rPr>
          <w:rFonts w:ascii="Times New Roman" w:hAnsi="Times New Roman"/>
          <w:b w:val="0"/>
          <w:i w:val="0"/>
          <w:sz w:val="24"/>
        </w:rPr>
      </w:r>
    </w:p>
    <w:p>
      <w:pPr>
        <w:spacing w:line="480" w:lineRule="auto"/>
      </w:pPr>
      <w:r>
        <w:rPr>
          <w:rFonts w:ascii="Times New Roman" w:hAnsi="Times New Roman"/>
          <w:b/>
          <w:sz w:val="20"/>
        </w:rPr>
        <w:t xml:space="preserve">TABLE III. </w:t>
      </w:r>
      <w:r>
        <w:rPr>
          <w:rFonts w:ascii="Times New Roman" w:hAnsi="Times New Roman"/>
          <w:sz w:val="20"/>
        </w:rPr>
        <w:t>Inter-click interval (ICI) statistics for three odontocete species.</w:t>
      </w:r>
    </w:p>
    <w:tbl>
      <w:tblPr>
        <w:tblW w:type="auto" w:w="0"/>
        <w:tblLayout w:type="autofit"/>
        <w:tblLook w:firstColumn="1" w:firstRow="1" w:lastColumn="0" w:lastRow="0" w:noHBand="0" w:noVBand="1" w:val="04A0"/>
        <w:tblBorders>
          <w:top w:val="single" w:sz="12" w:space="0" w:color="000000"/>
          <w:bottom w:val="single" w:sz="12" w:space="0" w:color="000000"/>
          <w:insideH w:val="single" w:sz="4" w:space="0" w:color="000000"/>
          <w:left w:val="none" w:sz="0" w:space="0" w:color="000000"/>
          <w:right w:val="none" w:sz="0" w:space="0" w:color="000000"/>
          <w:insideV w:val="none" w:sz="0" w:space="0" w:color="000000"/>
        </w:tblBorders>
      </w:tblPr>
      <w:tblGrid>
        <w:gridCol w:w="2340"/>
        <w:gridCol w:w="2340"/>
        <w:gridCol w:w="2340"/>
        <w:gridCol w:w="2340"/>
      </w:tblGrid>
      <w:tr>
        <w:tc>
          <w:tcPr>
            <w:tcW w:type="dxa" w:w="2340"/>
          </w:tcPr>
          <w:p>
            <w:pPr>
              <w:spacing w:before="40" w:after="40"/>
            </w:pPr>
            <w:r/>
            <w:r>
              <w:rPr>
                <w:rFonts w:ascii="Times New Roman" w:hAnsi="Times New Roman"/>
                <w:b/>
                <w:i w:val="0"/>
                <w:sz w:val="20"/>
              </w:rPr>
              <w:t>Species</w:t>
            </w:r>
          </w:p>
        </w:tc>
        <w:tc>
          <w:tcPr>
            <w:tcW w:type="dxa" w:w="2340"/>
          </w:tcPr>
          <w:p>
            <w:pPr>
              <w:spacing w:before="40" w:after="40"/>
            </w:pPr>
            <w:r/>
            <w:r>
              <w:rPr>
                <w:rFonts w:ascii="Times New Roman" w:hAnsi="Times New Roman"/>
                <w:b/>
                <w:i w:val="0"/>
                <w:sz w:val="20"/>
              </w:rPr>
              <w:t>Median ICI (ms)</w:t>
            </w:r>
          </w:p>
        </w:tc>
        <w:tc>
          <w:tcPr>
            <w:tcW w:type="dxa" w:w="2340"/>
          </w:tcPr>
          <w:p>
            <w:pPr>
              <w:spacing w:before="40" w:after="40"/>
            </w:pPr>
            <w:r/>
            <w:r>
              <w:rPr>
                <w:rFonts w:ascii="Times New Roman" w:hAnsi="Times New Roman"/>
                <w:b/>
                <w:i w:val="0"/>
                <w:sz w:val="20"/>
              </w:rPr>
              <w:t>Detection window (ms)</w:t>
            </w:r>
          </w:p>
        </w:tc>
        <w:tc>
          <w:tcPr>
            <w:tcW w:type="dxa" w:w="2340"/>
          </w:tcPr>
          <w:p>
            <w:pPr>
              <w:spacing w:before="40" w:after="40"/>
            </w:pPr>
            <w:r/>
            <w:r>
              <w:rPr>
                <w:rFonts w:ascii="Times New Roman" w:hAnsi="Times New Roman"/>
                <w:b/>
                <w:i w:val="0"/>
                <w:sz w:val="20"/>
              </w:rPr>
              <w:t>No. clicks</w:t>
            </w:r>
          </w:p>
        </w:tc>
      </w:tr>
      <w:tr>
        <w:tc>
          <w:tcPr>
            <w:tcW w:type="dxa" w:w="2340"/>
          </w:tcPr>
          <w:p>
            <w:pPr>
              <w:spacing w:before="40" w:after="40"/>
            </w:pPr>
            <w:r/>
            <w:r>
              <w:rPr>
                <w:rFonts w:ascii="Times New Roman" w:hAnsi="Times New Roman"/>
                <w:b w:val="0"/>
                <w:i w:val="0"/>
                <w:sz w:val="20"/>
              </w:rPr>
              <w:t>Sperm whale</w:t>
            </w:r>
          </w:p>
        </w:tc>
        <w:tc>
          <w:tcPr>
            <w:tcW w:type="dxa" w:w="2340"/>
          </w:tcPr>
          <w:p>
            <w:pPr>
              <w:spacing w:before="40" w:after="40"/>
            </w:pPr>
            <w:r/>
            <w:r>
              <w:rPr>
                <w:rFonts w:ascii="Times New Roman" w:hAnsi="Times New Roman"/>
                <w:b w:val="0"/>
                <w:i w:val="0"/>
                <w:sz w:val="20"/>
              </w:rPr>
              <w:t>21.2–117.1</w:t>
            </w:r>
          </w:p>
        </w:tc>
        <w:tc>
          <w:tcPr>
            <w:tcW w:type="dxa" w:w="2340"/>
          </w:tcPr>
          <w:p>
            <w:pPr>
              <w:spacing w:before="40" w:after="40"/>
            </w:pPr>
            <w:r/>
            <w:r>
              <w:rPr>
                <w:rFonts w:ascii="Times New Roman" w:hAnsi="Times New Roman"/>
                <w:b w:val="0"/>
                <w:i w:val="0"/>
                <w:sz w:val="20"/>
              </w:rPr>
              <w:t>1–2,000</w:t>
            </w:r>
          </w:p>
        </w:tc>
        <w:tc>
          <w:tcPr>
            <w:tcW w:type="dxa" w:w="2340"/>
          </w:tcPr>
          <w:p>
            <w:pPr>
              <w:spacing w:before="40" w:after="40"/>
            </w:pPr>
            <w:r/>
            <w:r>
              <w:rPr>
                <w:rFonts w:ascii="Times New Roman" w:hAnsi="Times New Roman"/>
                <w:b w:val="0"/>
                <w:i w:val="0"/>
                <w:sz w:val="20"/>
              </w:rPr>
              <w:t>18–290 per recording</w:t>
            </w:r>
          </w:p>
        </w:tc>
      </w:tr>
      <w:tr>
        <w:tc>
          <w:tcPr>
            <w:tcW w:type="dxa" w:w="2340"/>
          </w:tcPr>
          <w:p>
            <w:pPr>
              <w:spacing w:before="40" w:after="40"/>
            </w:pPr>
            <w:r/>
            <w:r>
              <w:rPr>
                <w:rFonts w:ascii="Times New Roman" w:hAnsi="Times New Roman"/>
                <w:b w:val="0"/>
                <w:i w:val="0"/>
                <w:sz w:val="20"/>
              </w:rPr>
              <w:t>Killer whale</w:t>
            </w:r>
          </w:p>
        </w:tc>
        <w:tc>
          <w:tcPr>
            <w:tcW w:type="dxa" w:w="2340"/>
          </w:tcPr>
          <w:p>
            <w:pPr>
              <w:spacing w:before="40" w:after="40"/>
            </w:pPr>
            <w:r/>
            <w:r>
              <w:rPr>
                <w:rFonts w:ascii="Times New Roman" w:hAnsi="Times New Roman"/>
                <w:b w:val="0"/>
                <w:i w:val="0"/>
                <w:sz w:val="20"/>
              </w:rPr>
              <w:t>2.6–129.4</w:t>
            </w:r>
          </w:p>
        </w:tc>
        <w:tc>
          <w:tcPr>
            <w:tcW w:type="dxa" w:w="2340"/>
          </w:tcPr>
          <w:p>
            <w:pPr>
              <w:spacing w:before="40" w:after="40"/>
            </w:pPr>
            <w:r/>
            <w:r>
              <w:rPr>
                <w:rFonts w:ascii="Times New Roman" w:hAnsi="Times New Roman"/>
                <w:b w:val="0"/>
                <w:i w:val="0"/>
                <w:sz w:val="20"/>
              </w:rPr>
              <w:t>1–2,000</w:t>
            </w:r>
          </w:p>
        </w:tc>
        <w:tc>
          <w:tcPr>
            <w:tcW w:type="dxa" w:w="2340"/>
          </w:tcPr>
          <w:p>
            <w:pPr>
              <w:spacing w:before="40" w:after="40"/>
            </w:pPr>
            <w:r/>
            <w:r>
              <w:rPr>
                <w:rFonts w:ascii="Times New Roman" w:hAnsi="Times New Roman"/>
                <w:b w:val="0"/>
                <w:i w:val="0"/>
                <w:sz w:val="20"/>
              </w:rPr>
              <w:t>10–41 per recording</w:t>
            </w:r>
          </w:p>
        </w:tc>
      </w:tr>
      <w:tr>
        <w:tc>
          <w:tcPr>
            <w:tcW w:type="dxa" w:w="2340"/>
          </w:tcPr>
          <w:p>
            <w:pPr>
              <w:spacing w:before="40" w:after="40"/>
            </w:pPr>
            <w:r/>
            <w:r>
              <w:rPr>
                <w:rFonts w:ascii="Times New Roman" w:hAnsi="Times New Roman"/>
                <w:b w:val="0"/>
                <w:i w:val="0"/>
                <w:sz w:val="20"/>
              </w:rPr>
              <w:t>Bottlenose dolphin</w:t>
            </w:r>
          </w:p>
        </w:tc>
        <w:tc>
          <w:tcPr>
            <w:tcW w:type="dxa" w:w="2340"/>
          </w:tcPr>
          <w:p>
            <w:pPr>
              <w:spacing w:before="40" w:after="40"/>
            </w:pPr>
            <w:r/>
            <w:r>
              <w:rPr>
                <w:rFonts w:ascii="Times New Roman" w:hAnsi="Times New Roman"/>
                <w:b w:val="0"/>
                <w:i w:val="0"/>
                <w:sz w:val="20"/>
              </w:rPr>
              <w:t>9.7–11.5</w:t>
            </w:r>
          </w:p>
        </w:tc>
        <w:tc>
          <w:tcPr>
            <w:tcW w:type="dxa" w:w="2340"/>
          </w:tcPr>
          <w:p>
            <w:pPr>
              <w:spacing w:before="40" w:after="40"/>
            </w:pPr>
            <w:r/>
            <w:r>
              <w:rPr>
                <w:rFonts w:ascii="Times New Roman" w:hAnsi="Times New Roman"/>
                <w:b w:val="0"/>
                <w:i w:val="0"/>
                <w:sz w:val="20"/>
              </w:rPr>
              <w:t>1–2,000</w:t>
            </w:r>
          </w:p>
        </w:tc>
        <w:tc>
          <w:tcPr>
            <w:tcW w:type="dxa" w:w="2340"/>
          </w:tcPr>
          <w:p>
            <w:pPr>
              <w:spacing w:before="40" w:after="40"/>
            </w:pPr>
            <w:r/>
            <w:r>
              <w:rPr>
                <w:rFonts w:ascii="Times New Roman" w:hAnsi="Times New Roman"/>
                <w:b w:val="0"/>
                <w:i w:val="0"/>
                <w:sz w:val="20"/>
              </w:rPr>
              <w:t>9–14 per recording</w:t>
            </w:r>
          </w:p>
        </w:tc>
      </w:tr>
    </w:tbl>
    <w:p>
      <w:pPr>
        <w:spacing w:line="480" w:lineRule="auto" w:after="0" w:before="0"/>
      </w:pPr>
      <w:r>
        <w:rPr>
          <w:rFonts w:ascii="Times New Roman" w:hAnsi="Times New Roman"/>
          <w:b w:val="0"/>
          <w:i w:val="0"/>
          <w:sz w:val="24"/>
        </w:rPr>
      </w:r>
    </w:p>
    <w:p>
      <w:pPr>
        <w:spacing w:line="480" w:lineRule="auto" w:before="240" w:after="0"/>
        <w:jc w:val="left"/>
      </w:pPr>
      <w:r>
        <w:rPr>
          <w:rFonts w:ascii="Times New Roman" w:hAnsi="Times New Roman"/>
          <w:b/>
          <w:i/>
          <w:sz w:val="24"/>
        </w:rPr>
        <w:t>C. Bispectral analysis</w:t>
      </w:r>
    </w:p>
    <w:p>
      <w:pPr>
        <w:spacing w:line="480" w:lineRule="auto" w:after="0" w:before="0"/>
        <w:ind w:firstLine="720"/>
      </w:pPr>
      <w:r>
        <w:rPr>
          <w:rFonts w:ascii="Times New Roman" w:hAnsi="Times New Roman"/>
          <w:b w:val="0"/>
          <w:i w:val="0"/>
          <w:sz w:val="24"/>
        </w:rPr>
        <w:t>Bicoherence analysis detected non-zero quadratic phase coupling in all six species (FIGS. 10–15; TABLE II). Sperm whales exhibited the highest mean off-diagonal bicoherence (7.51 × 10⁻⁴), greater than fin whales (1.24 × 10⁻⁴). The presence of quadratic phase coupling indicates that frequency components are not independently generated but interact nonlinearly, producing combination tones at f₁ + f₂. This is consistent with nonlinear effects in the vocal production mechanism and provides indirect support for the beat frequency hypothesis.</w:t>
      </w:r>
    </w:p>
    <w:p>
      <w:pPr>
        <w:spacing w:line="480" w:lineRule="auto" w:after="0" w:before="0"/>
      </w:pPr>
      <w:r>
        <w:rPr>
          <w:rFonts w:ascii="Times New Roman" w:hAnsi="Times New Roman"/>
          <w:b w:val="0"/>
          <w:i/>
          <w:sz w:val="24"/>
        </w:rPr>
        <w:t>[FIG. 10 -- image file not found: bispectrum_Sperm_Whale_en.png]</w:t>
      </w:r>
    </w:p>
    <w:p>
      <w:pPr>
        <w:spacing w:line="480" w:lineRule="auto" w:after="0" w:before="0"/>
      </w:pPr>
      <w:r>
        <w:rPr>
          <w:rFonts w:ascii="Times New Roman" w:hAnsi="Times New Roman"/>
          <w:b w:val="0"/>
          <w:i/>
          <w:sz w:val="24"/>
        </w:rPr>
        <w:t>[FIG. 11 -- image file not found: bispectrum_Humpback_Whale_en.png]</w:t>
      </w:r>
    </w:p>
    <w:p>
      <w:pPr>
        <w:spacing w:line="480" w:lineRule="auto" w:after="0" w:before="0"/>
      </w:pPr>
      <w:r>
        <w:rPr>
          <w:rFonts w:ascii="Times New Roman" w:hAnsi="Times New Roman"/>
          <w:b w:val="0"/>
          <w:i/>
          <w:sz w:val="24"/>
        </w:rPr>
        <w:t>[FIG. 12 -- image file not found: bispectrum_Killer_Whale_en.png]</w:t>
      </w:r>
    </w:p>
    <w:p>
      <w:pPr>
        <w:spacing w:line="480" w:lineRule="auto" w:after="0" w:before="0"/>
      </w:pPr>
      <w:r>
        <w:rPr>
          <w:rFonts w:ascii="Times New Roman" w:hAnsi="Times New Roman"/>
          <w:b w:val="0"/>
          <w:i/>
          <w:sz w:val="24"/>
        </w:rPr>
        <w:t>[FIG. 13 -- image file not found: bispectrum_Fin_Finback_Whale_en.png]</w:t>
      </w:r>
    </w:p>
    <w:p>
      <w:pPr>
        <w:spacing w:line="480" w:lineRule="auto" w:after="0" w:before="0"/>
      </w:pPr>
      <w:r>
        <w:rPr>
          <w:rFonts w:ascii="Times New Roman" w:hAnsi="Times New Roman"/>
          <w:b w:val="0"/>
          <w:i/>
          <w:sz w:val="24"/>
        </w:rPr>
        <w:t>[FIG. 14 -- image file not found: bispectrum_Bottlenose_Dolphin_en.png]</w:t>
      </w:r>
    </w:p>
    <w:p>
      <w:pPr>
        <w:spacing w:line="480" w:lineRule="auto" w:after="0" w:before="0"/>
      </w:pPr>
      <w:r>
        <w:rPr>
          <w:rFonts w:ascii="Times New Roman" w:hAnsi="Times New Roman"/>
          <w:b w:val="0"/>
          <w:i/>
          <w:sz w:val="24"/>
        </w:rPr>
        <w:t>[FIG. 15 -- image file not found: bispectrum_Beluga_White_Whale_en.png]</w:t>
      </w:r>
    </w:p>
    <w:p>
      <w:pPr>
        <w:spacing w:line="480" w:lineRule="auto" w:before="240" w:after="0"/>
        <w:jc w:val="left"/>
      </w:pPr>
      <w:r>
        <w:rPr>
          <w:rFonts w:ascii="Times New Roman" w:hAnsi="Times New Roman"/>
          <w:b/>
          <w:i/>
          <w:sz w:val="24"/>
        </w:rPr>
        <w:t>D. Information entropy and Zipf analysis</w:t>
      </w:r>
    </w:p>
    <w:p>
      <w:pPr>
        <w:spacing w:line="480" w:lineRule="auto" w:after="0" w:before="0"/>
        <w:ind w:firstLine="720"/>
      </w:pPr>
      <w:r>
        <w:rPr>
          <w:rFonts w:ascii="Times New Roman" w:hAnsi="Times New Roman"/>
          <w:b w:val="0"/>
          <w:i w:val="0"/>
          <w:sz w:val="24"/>
        </w:rPr>
        <w:t>Shannon entropy of the PSD varied substantially across species (FIGS. 16–21; TABLE II). Sperm whales exhibited the highest entropy (7.43 bits), reflecting their broadband, information-rich click trains. Fin whales showed the lowest entropy (2.28 bits), consistent with their narrow-band, highly repetitive infrasonic pulses. Humpback whales (4.47 bits) occupied an intermediate position, with their complex songs showing moderate information content.</w:t>
      </w:r>
    </w:p>
    <w:p>
      <w:pPr>
        <w:spacing w:line="480" w:lineRule="auto" w:after="0" w:before="0"/>
        <w:ind w:firstLine="720"/>
      </w:pPr>
      <w:r>
        <w:rPr>
          <w:rFonts w:ascii="Times New Roman" w:hAnsi="Times New Roman"/>
          <w:b w:val="0"/>
          <w:i w:val="0"/>
          <w:sz w:val="24"/>
        </w:rPr>
        <w:t>Zipf’s law fitting revealed species-specific rank-frequency distributions. The Zipf exponent α ranged from approximately 0.5 to 2.0 across species, with humpback whale songs showing the best fit to Zipf’s law (highest R² values), consistent with the finding of Arnon et al. (2025) that humpback songs exhibit language-like statistical properties.</w:t>
      </w:r>
    </w:p>
    <w:p>
      <w:pPr>
        <w:spacing w:line="480" w:lineRule="auto" w:after="0" w:before="0"/>
      </w:pPr>
      <w:r>
        <w:rPr>
          <w:rFonts w:ascii="Times New Roman" w:hAnsi="Times New Roman"/>
          <w:b w:val="0"/>
          <w:i/>
          <w:sz w:val="24"/>
        </w:rPr>
        <w:t>[FIG. 16 -- image file not found: entropy_Sperm_Whale_en.png]</w:t>
      </w:r>
    </w:p>
    <w:p>
      <w:pPr>
        <w:spacing w:line="480" w:lineRule="auto" w:after="0" w:before="0"/>
      </w:pPr>
      <w:r>
        <w:rPr>
          <w:rFonts w:ascii="Times New Roman" w:hAnsi="Times New Roman"/>
          <w:b w:val="0"/>
          <w:i/>
          <w:sz w:val="24"/>
        </w:rPr>
        <w:t>[FIG. 17 -- image file not found: entropy_Humpback_Whale_en.png]</w:t>
      </w:r>
    </w:p>
    <w:p>
      <w:pPr>
        <w:spacing w:line="480" w:lineRule="auto" w:after="0" w:before="0"/>
      </w:pPr>
      <w:r>
        <w:rPr>
          <w:rFonts w:ascii="Times New Roman" w:hAnsi="Times New Roman"/>
          <w:b w:val="0"/>
          <w:i/>
          <w:sz w:val="24"/>
        </w:rPr>
        <w:t>[FIG. 18 -- image file not found: entropy_Killer_Whale_en.png]</w:t>
      </w:r>
    </w:p>
    <w:p>
      <w:pPr>
        <w:spacing w:line="480" w:lineRule="auto" w:after="0" w:before="0"/>
      </w:pPr>
      <w:r>
        <w:rPr>
          <w:rFonts w:ascii="Times New Roman" w:hAnsi="Times New Roman"/>
          <w:b w:val="0"/>
          <w:i/>
          <w:sz w:val="24"/>
        </w:rPr>
        <w:t>[FIG. 19 -- image file not found: entropy_Fin_Finback_Whale_en.png]</w:t>
      </w:r>
    </w:p>
    <w:p>
      <w:pPr>
        <w:spacing w:line="480" w:lineRule="auto" w:after="0" w:before="0"/>
      </w:pPr>
      <w:r>
        <w:rPr>
          <w:rFonts w:ascii="Times New Roman" w:hAnsi="Times New Roman"/>
          <w:b w:val="0"/>
          <w:i/>
          <w:sz w:val="24"/>
        </w:rPr>
        <w:t>[FIG. 20 -- image file not found: entropy_Bottlenose_Dolphin_en.png]</w:t>
      </w:r>
    </w:p>
    <w:p>
      <w:pPr>
        <w:spacing w:line="480" w:lineRule="auto" w:after="0" w:before="0"/>
      </w:pPr>
      <w:r>
        <w:rPr>
          <w:rFonts w:ascii="Times New Roman" w:hAnsi="Times New Roman"/>
          <w:b w:val="0"/>
          <w:i/>
          <w:sz w:val="24"/>
        </w:rPr>
        <w:t>[FIG. 21 -- image file not found: entropy_Beluga_White_Whale_en.png]</w:t>
      </w:r>
    </w:p>
    <w:p>
      <w:pPr>
        <w:spacing w:line="480" w:lineRule="auto" w:before="240" w:after="0"/>
        <w:jc w:val="left"/>
      </w:pPr>
      <w:r>
        <w:rPr>
          <w:rFonts w:ascii="Times New Roman" w:hAnsi="Times New Roman"/>
          <w:b/>
          <w:i/>
          <w:sz w:val="24"/>
        </w:rPr>
        <w:t>E. Temporal structure</w:t>
      </w:r>
    </w:p>
    <w:p>
      <w:pPr>
        <w:spacing w:line="480" w:lineRule="auto" w:after="0" w:before="0"/>
        <w:ind w:firstLine="720"/>
      </w:pPr>
      <w:r>
        <w:rPr>
          <w:rFonts w:ascii="Times New Roman" w:hAnsi="Times New Roman"/>
          <w:b w:val="0"/>
          <w:i w:val="0"/>
          <w:sz w:val="24"/>
        </w:rPr>
        <w:t>Spectral flatness analysis (FIGS. 22–27) revealed that fin whales (0.0000) produce the most tonal (structured) signals, while sperm whales (0.3771) exhibit the most noise-like characteristics. This dichotomy reflects fundamental differences in vocal production mechanisms: continuous tonal production in mysticetes versus impulsive click generation in odontocetes.</w:t>
      </w:r>
    </w:p>
    <w:p>
      <w:pPr>
        <w:spacing w:line="480" w:lineRule="auto" w:after="0" w:before="0"/>
      </w:pPr>
      <w:r>
        <w:rPr>
          <w:rFonts w:ascii="Times New Roman" w:hAnsi="Times New Roman"/>
          <w:b w:val="0"/>
          <w:i/>
          <w:sz w:val="24"/>
        </w:rPr>
        <w:t>[FIG. 22 -- image file not found: temporal_Sperm_Whale_en.png]</w:t>
      </w:r>
    </w:p>
    <w:p>
      <w:pPr>
        <w:spacing w:line="480" w:lineRule="auto" w:after="0" w:before="0"/>
      </w:pPr>
      <w:r>
        <w:rPr>
          <w:rFonts w:ascii="Times New Roman" w:hAnsi="Times New Roman"/>
          <w:b w:val="0"/>
          <w:i/>
          <w:sz w:val="24"/>
        </w:rPr>
        <w:t>[FIG. 23 -- image file not found: temporal_Humpback_Whale_en.png]</w:t>
      </w:r>
    </w:p>
    <w:p>
      <w:pPr>
        <w:spacing w:line="480" w:lineRule="auto" w:after="0" w:before="0"/>
      </w:pPr>
      <w:r>
        <w:rPr>
          <w:rFonts w:ascii="Times New Roman" w:hAnsi="Times New Roman"/>
          <w:b w:val="0"/>
          <w:i/>
          <w:sz w:val="24"/>
        </w:rPr>
        <w:t>[FIG. 24 -- image file not found: temporal_Killer_Whale_en.png]</w:t>
      </w:r>
    </w:p>
    <w:p>
      <w:pPr>
        <w:spacing w:line="480" w:lineRule="auto" w:after="0" w:before="0"/>
      </w:pPr>
      <w:r>
        <w:rPr>
          <w:rFonts w:ascii="Times New Roman" w:hAnsi="Times New Roman"/>
          <w:b w:val="0"/>
          <w:i/>
          <w:sz w:val="24"/>
        </w:rPr>
        <w:t>[FIG. 25 -- image file not found: temporal_Fin_Finback_Whale_en.png]</w:t>
      </w:r>
    </w:p>
    <w:p>
      <w:pPr>
        <w:spacing w:line="480" w:lineRule="auto" w:after="0" w:before="0"/>
      </w:pPr>
      <w:r>
        <w:rPr>
          <w:rFonts w:ascii="Times New Roman" w:hAnsi="Times New Roman"/>
          <w:b w:val="0"/>
          <w:i/>
          <w:sz w:val="24"/>
        </w:rPr>
        <w:t>[FIG. 26 -- image file not found: temporal_Bottlenose_Dolphin_en.png]</w:t>
      </w:r>
    </w:p>
    <w:p>
      <w:pPr>
        <w:spacing w:line="480" w:lineRule="auto" w:after="0" w:before="0"/>
      </w:pPr>
      <w:r>
        <w:rPr>
          <w:rFonts w:ascii="Times New Roman" w:hAnsi="Times New Roman"/>
          <w:b w:val="0"/>
          <w:i/>
          <w:sz w:val="24"/>
        </w:rPr>
        <w:t>[FIG. 27 -- image file not found: temporal_Beluga_White_Whale_en.png]</w:t>
      </w:r>
    </w:p>
    <w:p>
      <w:pPr>
        <w:spacing w:line="480" w:lineRule="auto" w:before="240" w:after="0"/>
        <w:jc w:val="left"/>
      </w:pPr>
      <w:r>
        <w:rPr>
          <w:rFonts w:ascii="Times New Roman" w:hAnsi="Times New Roman"/>
          <w:b/>
          <w:i/>
          <w:sz w:val="24"/>
        </w:rPr>
        <w:t>F. Cross-species comparison</w:t>
      </w:r>
    </w:p>
    <w:p>
      <w:pPr>
        <w:spacing w:line="480" w:lineRule="auto" w:after="0" w:before="0"/>
        <w:ind w:firstLine="720"/>
      </w:pPr>
      <w:r>
        <w:rPr>
          <w:rFonts w:ascii="Times New Roman" w:hAnsi="Times New Roman"/>
          <w:b w:val="0"/>
          <w:i w:val="0"/>
          <w:sz w:val="24"/>
        </w:rPr>
        <w:t>Box-plot comparisons of all extracted features across species (FIG. 28) confirmed significant interspecific differences in all measured parameters. The features form non-overlapping or minimally overlapping distributions for most species pairs, supporting the notion that each species occupies a distinct region of acoustic feature space.</w:t>
      </w:r>
    </w:p>
    <w:p>
      <w:pPr>
        <w:spacing w:line="480" w:lineRule="auto" w:after="0" w:before="0"/>
      </w:pPr>
      <w:r>
        <w:rPr>
          <w:rFonts w:ascii="Times New Roman" w:hAnsi="Times New Roman"/>
          <w:b w:val="0"/>
          <w:i/>
          <w:sz w:val="24"/>
        </w:rPr>
        <w:t>[FIG. 28 -- image file not found: cross_species_en.png]</w:t>
      </w:r>
    </w:p>
    <w:p>
      <w:pPr>
        <w:spacing w:line="480" w:lineRule="auto" w:before="240" w:after="0"/>
        <w:jc w:val="left"/>
      </w:pPr>
      <w:r>
        <w:rPr>
          <w:rFonts w:ascii="Times New Roman" w:hAnsi="Times New Roman"/>
          <w:b/>
          <w:i/>
          <w:sz w:val="24"/>
        </w:rPr>
        <w:t>G. CDMA-like orthogonality test</w:t>
      </w:r>
    </w:p>
    <w:p>
      <w:pPr>
        <w:spacing w:line="480" w:lineRule="auto" w:after="0" w:before="0"/>
        <w:ind w:firstLine="720"/>
      </w:pPr>
      <w:r>
        <w:rPr>
          <w:rFonts w:ascii="Times New Roman" w:hAnsi="Times New Roman"/>
          <w:b w:val="0"/>
          <w:i w:val="0"/>
          <w:sz w:val="24"/>
        </w:rPr>
        <w:t>The CDMA orthogonality analysis (FIG. 29) yielded a clear result. Within-species spectral correlation (mean = 0.40, SD = 0.29) was significantly higher than between-species correlation (mean = 0.30, SD = 0.28; Mann-Whitney U test, p = 3.37 × 10⁻³). This demonstrates that conspecific recordings share more spectral structure than heterospecific recordings, satisfying a necessary condition for CDMA-like code-division communication at the species level.</w:t>
      </w:r>
    </w:p>
    <w:p>
      <w:pPr>
        <w:spacing w:line="480" w:lineRule="auto" w:after="0" w:before="0"/>
        <w:ind w:firstLine="720"/>
      </w:pPr>
      <w:r>
        <w:rPr>
          <w:rFonts w:ascii="Times New Roman" w:hAnsi="Times New Roman"/>
          <w:b w:val="0"/>
          <w:i w:val="0"/>
          <w:sz w:val="24"/>
        </w:rPr>
        <w:t>The correlation distributions (FIG. 29) show partial overlap, indicating that while species-level separation is statistically significant, the spectral codes are not perfectly orthogonal. The moderate effect size (difference ≈ 0.10) suggests that additional coding dimensions—such as temporal patterning, amplitude modulation, or individual-specific features—may contribute to signal discrimination in practice.</w:t>
      </w:r>
    </w:p>
    <w:p>
      <w:pPr>
        <w:spacing w:line="480" w:lineRule="auto" w:after="0" w:before="0"/>
      </w:pPr>
      <w:r>
        <w:rPr>
          <w:rFonts w:ascii="Times New Roman" w:hAnsi="Times New Roman"/>
          <w:b w:val="0"/>
          <w:i/>
          <w:sz w:val="24"/>
        </w:rPr>
        <w:t>[FIG. 29 -- image file not found: cdma_en.png]</w:t>
      </w:r>
    </w:p>
    <w:p>
      <w:pPr>
        <w:spacing w:line="480" w:lineRule="auto" w:before="240" w:after="0"/>
        <w:jc w:val="center"/>
      </w:pPr>
      <w:r>
        <w:rPr>
          <w:rFonts w:ascii="Times New Roman" w:hAnsi="Times New Roman"/>
          <w:b/>
          <w:sz w:val="24"/>
        </w:rPr>
        <w:t>IV. DISCUSSION</w:t>
      </w:r>
    </w:p>
    <w:p>
      <w:pPr>
        <w:spacing w:line="480" w:lineRule="auto" w:after="0" w:before="0"/>
        <w:ind w:firstLine="720"/>
      </w:pPr>
      <w:r>
        <w:rPr>
          <w:rFonts w:ascii="Times New Roman" w:hAnsi="Times New Roman"/>
          <w:b w:val="0"/>
          <w:i w:val="0"/>
          <w:sz w:val="24"/>
        </w:rPr>
        <w:t>The results of this multi-method analysis provide converging evidence that cetacean acoustic communication exhibits structured encoding properties that can be meaningfully analyzed using telecommunications-inspired frameworks.</w:t>
      </w:r>
    </w:p>
    <w:p>
      <w:pPr>
        <w:spacing w:line="480" w:lineRule="auto" w:before="240" w:after="0"/>
        <w:jc w:val="left"/>
      </w:pPr>
      <w:r>
        <w:rPr>
          <w:rFonts w:ascii="Times New Roman" w:hAnsi="Times New Roman"/>
          <w:b/>
          <w:i/>
          <w:sz w:val="24"/>
        </w:rPr>
        <w:t>A. CDMA-like code division</w:t>
      </w:r>
    </w:p>
    <w:p>
      <w:pPr>
        <w:spacing w:line="480" w:lineRule="auto" w:after="0" w:before="0"/>
        <w:ind w:firstLine="720"/>
      </w:pPr>
      <w:r>
        <w:rPr>
          <w:rFonts w:ascii="Times New Roman" w:hAnsi="Times New Roman"/>
          <w:b w:val="0"/>
          <w:i w:val="0"/>
          <w:sz w:val="24"/>
        </w:rPr>
        <w:t>The significantly higher within-species spectral correlation provides quantitative support for the hypothesis that cetacean species possess distinguishable spectral signatures. In the CDMA analogy, each species’ spectral profile functions as a "spreading code" that enables receivers to selectively extract conspecific signals from the ambient acoustic environment. This interpretation is consistent with the observation that marine mammals can detect and respond to conspecific calls in noisy, multi-species acoustic environments (Tyack and Clark, 2000).</w:t>
      </w:r>
    </w:p>
    <w:p>
      <w:pPr>
        <w:spacing w:line="480" w:lineRule="auto" w:after="0" w:before="0"/>
        <w:ind w:firstLine="720"/>
      </w:pPr>
      <w:r>
        <w:rPr>
          <w:rFonts w:ascii="Times New Roman" w:hAnsi="Times New Roman"/>
          <w:b w:val="0"/>
          <w:i w:val="0"/>
          <w:sz w:val="24"/>
        </w:rPr>
        <w:t>However, the moderate effect size warrants caution. True CDMA requires near-orthogonal codes, and the observed spectral overlap between species suggests that spectral coding alone may not provide sufficient discrimination. Individual-level code division—as suggested by the individually distinctive coda patterns reported by Sharma et al. (2024) and Oliveira et al. (2016)—likely operates in conjunction with species-level spectral signatures to achieve robust signal discrimination. Future studies with larger sample sizes should test individual-level orthogonality.</w:t>
      </w:r>
    </w:p>
    <w:p>
      <w:pPr>
        <w:spacing w:line="480" w:lineRule="auto" w:before="240" w:after="0"/>
        <w:jc w:val="left"/>
      </w:pPr>
      <w:r>
        <w:rPr>
          <w:rFonts w:ascii="Times New Roman" w:hAnsi="Times New Roman"/>
          <w:b/>
          <w:i/>
          <w:sz w:val="24"/>
        </w:rPr>
        <w:t>B. Nonlinear frequency coupling and the beat frequency hypothesis</w:t>
      </w:r>
    </w:p>
    <w:p>
      <w:pPr>
        <w:spacing w:line="480" w:lineRule="auto" w:after="0" w:before="0"/>
        <w:ind w:firstLine="720"/>
      </w:pPr>
      <w:r>
        <w:rPr>
          <w:rFonts w:ascii="Times New Roman" w:hAnsi="Times New Roman"/>
          <w:b w:val="0"/>
          <w:i w:val="0"/>
          <w:sz w:val="24"/>
        </w:rPr>
        <w:t>The detection of quadratic phase coupling via bispectral analysis in all six species confirms the presence of nonlinear acoustic effects in cetacean vocalizations. The highest bicoherence values in sperm whales may reflect the biomechanical nonlinearity of the spermaceti organ during click production (Møhl et al., 2003).</w:t>
      </w:r>
    </w:p>
    <w:p>
      <w:pPr>
        <w:spacing w:line="480" w:lineRule="auto" w:after="0" w:before="0"/>
        <w:ind w:firstLine="720"/>
      </w:pPr>
      <w:r>
        <w:rPr>
          <w:rFonts w:ascii="Times New Roman" w:hAnsi="Times New Roman"/>
          <w:b w:val="0"/>
          <w:i w:val="0"/>
          <w:sz w:val="24"/>
        </w:rPr>
        <w:t>The beat frequency hypothesis as originally formulated—involving interference between temporally delayed signals over long propagation paths—faces physical constraints. Nonlinear acoustic effects (parametric array effects) require high sound pressure levels (Westervelt, 1963), and while cetacean source levels can be substantial (up to 236 dB re 1 μPa for sperm whales; Møhl et al., 2003), geometric spreading and absorption rapidly reduce levels below the threshold for parametric effects at communication ranges.</w:t>
      </w:r>
    </w:p>
    <w:p>
      <w:pPr>
        <w:spacing w:line="480" w:lineRule="auto" w:after="0" w:before="0"/>
        <w:ind w:firstLine="720"/>
      </w:pPr>
      <w:r>
        <w:rPr>
          <w:rFonts w:ascii="Times New Roman" w:hAnsi="Times New Roman"/>
          <w:b w:val="0"/>
          <w:i w:val="0"/>
          <w:sz w:val="24"/>
        </w:rPr>
        <w:t>A modified interpretation is more tenable: nonlinear frequency coupling occurs within the vocal production apparatus itself, generating combination tones that form part of the emitted signal. The biphonation documented by Lefevre et al. (2025) provides direct biological evidence for such near-field nonlinear effects. In this framework, the "beat frequency" information is encoded at the source rather than generated at the receiver, and the observed bicoherence reflects this production-level nonlinearity.</w:t>
      </w:r>
    </w:p>
    <w:p>
      <w:pPr>
        <w:spacing w:line="480" w:lineRule="auto" w:before="240" w:after="0"/>
        <w:jc w:val="left"/>
      </w:pPr>
      <w:r>
        <w:rPr>
          <w:rFonts w:ascii="Times New Roman" w:hAnsi="Times New Roman"/>
          <w:b/>
          <w:i/>
          <w:sz w:val="24"/>
        </w:rPr>
        <w:t>C. Information-theoretic perspective</w:t>
      </w:r>
    </w:p>
    <w:p>
      <w:pPr>
        <w:spacing w:line="480" w:lineRule="auto" w:after="0" w:before="0"/>
        <w:ind w:firstLine="720"/>
      </w:pPr>
      <w:r>
        <w:rPr>
          <w:rFonts w:ascii="Times New Roman" w:hAnsi="Times New Roman"/>
          <w:b w:val="0"/>
          <w:i w:val="0"/>
          <w:sz w:val="24"/>
        </w:rPr>
        <w:t>The wide range of Shannon entropy values (2.28–7.43 bits) across species reflects fundamentally different communication strategies. The high entropy of sperm whale clicks is consistent with their use of combinatorial codas that encode individual, clan, and contextual information (Sharma et al., 2024). The low entropy of fin whale signals reflects their strategy of maximizing detection range through repetitive, narrow-band infrasonic pulses at the expense of per-signal information content.</w:t>
      </w:r>
    </w:p>
    <w:p>
      <w:pPr>
        <w:spacing w:line="480" w:lineRule="auto" w:after="0" w:before="0"/>
        <w:ind w:firstLine="720"/>
      </w:pPr>
      <w:r>
        <w:rPr>
          <w:rFonts w:ascii="Times New Roman" w:hAnsi="Times New Roman"/>
          <w:b w:val="0"/>
          <w:i w:val="0"/>
          <w:sz w:val="24"/>
        </w:rPr>
        <w:t>The conformity of rank-frequency distributions to Zipf’s law, particularly in humpback whale songs, aligns with the growing body of evidence that cetacean communication systems share statistical properties with human language (Arnon et al., 2025; Youngblood, 2025). However, Zipf distributions can arise from multiple generative mechanisms and do not, by themselves, demonstrate linguistic structure (Li, 1992).</w:t>
      </w:r>
    </w:p>
    <w:p>
      <w:pPr>
        <w:spacing w:line="480" w:lineRule="auto" w:before="240" w:after="0"/>
        <w:jc w:val="left"/>
      </w:pPr>
      <w:r>
        <w:rPr>
          <w:rFonts w:ascii="Times New Roman" w:hAnsi="Times New Roman"/>
          <w:b/>
          <w:i/>
          <w:sz w:val="24"/>
        </w:rPr>
        <w:t>D. Limitations</w:t>
      </w:r>
    </w:p>
    <w:p>
      <w:pPr>
        <w:spacing w:line="480" w:lineRule="auto" w:after="0" w:before="0"/>
        <w:ind w:firstLine="720"/>
      </w:pPr>
      <w:r>
        <w:rPr>
          <w:rFonts w:ascii="Times New Roman" w:hAnsi="Times New Roman"/>
          <w:b w:val="0"/>
          <w:i w:val="0"/>
          <w:sz w:val="24"/>
        </w:rPr>
        <w:t>Several limitations should be noted. First, the Watkins database recordings were made under varying conditions (different hydrophones, distances, and noise environments), which may introduce variability not related to species-specific vocal characteristics. Second, the single-hydrophone recordings preclude direct testing of spatial aspects of the beat frequency hypothesis, which requires synchronized multi-point recordings. Third, the sample size (up to 10 recordings per species) limits the statistical power for individual-level analyses. Fourth, the 16 kHz resampling rate limits analysis to frequencies below 8 kHz, excluding some high-frequency components of dolphin whistles and echolocation clicks. Fifth, to bound memory use and ensure deterministic processing, only the first 60 s of each recording were analyzed, which may under-sample temporally sparse vocalizations.</w:t>
      </w:r>
    </w:p>
    <w:p>
      <w:pPr>
        <w:spacing w:line="480" w:lineRule="auto" w:before="240" w:after="0"/>
        <w:jc w:val="center"/>
      </w:pPr>
      <w:r>
        <w:rPr>
          <w:rFonts w:ascii="Times New Roman" w:hAnsi="Times New Roman"/>
          <w:b/>
          <w:sz w:val="24"/>
        </w:rPr>
        <w:t>V. CONCLUSIONS</w:t>
      </w:r>
    </w:p>
    <w:p>
      <w:pPr>
        <w:spacing w:line="480" w:lineRule="auto" w:after="0" w:before="0"/>
        <w:ind w:firstLine="720"/>
      </w:pPr>
      <w:r>
        <w:rPr>
          <w:rFonts w:ascii="Times New Roman" w:hAnsi="Times New Roman"/>
          <w:b w:val="0"/>
          <w:i w:val="0"/>
          <w:sz w:val="24"/>
        </w:rPr>
        <w:t>Quantitative analysis of the Watkins Marine Mammal Sound Database using seven analytical methods yields the following principal findings:</w:t>
      </w:r>
    </w:p>
    <w:p>
      <w:pPr>
        <w:spacing w:line="480" w:lineRule="auto" w:after="0" w:before="0"/>
        <w:ind w:firstLine="720"/>
      </w:pPr>
      <w:r>
        <w:rPr>
          <w:rFonts w:ascii="Times New Roman" w:hAnsi="Times New Roman"/>
          <w:b w:val="0"/>
          <w:i w:val="0"/>
          <w:sz w:val="24"/>
        </w:rPr>
        <w:t>(1) Six marine mammal species exhibit species-specific spectral characteristics clearly distinguishable by spectral centroid, bandwidth, and dominant frequency.</w:t>
      </w:r>
    </w:p>
    <w:p>
      <w:pPr>
        <w:spacing w:line="480" w:lineRule="auto" w:after="0" w:before="0"/>
        <w:ind w:firstLine="720"/>
      </w:pPr>
      <w:r>
        <w:rPr>
          <w:rFonts w:ascii="Times New Roman" w:hAnsi="Times New Roman"/>
          <w:b w:val="0"/>
          <w:i w:val="0"/>
          <w:sz w:val="24"/>
        </w:rPr>
        <w:t>(2) Within-species normalized spectral code correlation is significantly higher than between-species correlation (p = 3.37 × 10⁻³), satisfying a necessary condition for CDMA-like code-division communication at the species level.</w:t>
      </w:r>
    </w:p>
    <w:p>
      <w:pPr>
        <w:spacing w:line="480" w:lineRule="auto" w:after="0" w:before="0"/>
        <w:ind w:firstLine="720"/>
      </w:pPr>
      <w:r>
        <w:rPr>
          <w:rFonts w:ascii="Times New Roman" w:hAnsi="Times New Roman"/>
          <w:b w:val="0"/>
          <w:i w:val="0"/>
          <w:sz w:val="24"/>
        </w:rPr>
        <w:t>(3) Nonlinear frequency coupling, detected via bispectral analysis in all species, confirms the presence of nonlinear acoustic effects in cetacean vocalizations, consistent with near-field beat frequency generation.</w:t>
      </w:r>
    </w:p>
    <w:p>
      <w:pPr>
        <w:spacing w:line="480" w:lineRule="auto" w:after="0" w:before="0"/>
        <w:ind w:firstLine="720"/>
      </w:pPr>
      <w:r>
        <w:rPr>
          <w:rFonts w:ascii="Times New Roman" w:hAnsi="Times New Roman"/>
          <w:b w:val="0"/>
          <w:i w:val="0"/>
          <w:sz w:val="24"/>
        </w:rPr>
        <w:t>(4) Shannon entropy ranges from 2.28 to 7.43 bits across species, reflecting substantial variation in information encoding strategies.</w:t>
      </w:r>
    </w:p>
    <w:p>
      <w:pPr>
        <w:spacing w:line="480" w:lineRule="auto" w:after="0" w:before="0"/>
        <w:ind w:firstLine="720"/>
      </w:pPr>
      <w:r>
        <w:rPr>
          <w:rFonts w:ascii="Times New Roman" w:hAnsi="Times New Roman"/>
          <w:b w:val="0"/>
          <w:i w:val="0"/>
          <w:sz w:val="24"/>
        </w:rPr>
        <w:t>(5) Telecommunications-inspired analytical frameworks—particularly CDMA orthogonality testing and bispectral analysis—offer valuable quantitative tools for investigating encoding structures in bioacoustic data.</w:t>
      </w:r>
    </w:p>
    <w:p>
      <w:pPr>
        <w:spacing w:line="480" w:lineRule="auto" w:after="0" w:before="0"/>
        <w:ind w:firstLine="720"/>
      </w:pPr>
      <w:r>
        <w:rPr>
          <w:rFonts w:ascii="Times New Roman" w:hAnsi="Times New Roman"/>
          <w:b w:val="0"/>
          <w:i w:val="0"/>
          <w:sz w:val="24"/>
        </w:rPr>
        <w:t>Future work should employ synchronized multi-hydrophone recordings for spatial analysis of signal propagation and interference, individual-level code separation analysis with larger sample sizes, and longitudinal tracking of code variation to assess temporal stability and plasticity of acoustic encoding.</w:t>
      </w:r>
    </w:p>
    <w:p>
      <w:pPr>
        <w:spacing w:line="480" w:lineRule="auto" w:before="240" w:after="0"/>
        <w:jc w:val="center"/>
      </w:pPr>
      <w:r>
        <w:rPr>
          <w:rFonts w:ascii="Times New Roman" w:hAnsi="Times New Roman"/>
          <w:b/>
          <w:sz w:val="24"/>
        </w:rPr>
        <w:t>ACKNOWLEDGMENTS</w:t>
      </w:r>
    </w:p>
    <w:p>
      <w:pPr>
        <w:spacing w:line="480" w:lineRule="auto" w:after="0" w:before="0"/>
      </w:pPr>
      <w:r>
        <w:rPr>
          <w:rFonts w:ascii="Times New Roman" w:hAnsi="Times New Roman"/>
          <w:b w:val="0"/>
          <w:i w:val="0"/>
          <w:sz w:val="24"/>
        </w:rPr>
        <w:t>The authors gratefully acknowledge the Woods Hole Oceanographic Institution for making the Watkins Marine Mammal Sound Database publicly available, and the HuggingFace community for hosting the data in accessible format. [Additional acknowledgments to be added.]</w:t>
      </w:r>
    </w:p>
    <w:p>
      <w:pPr>
        <w:spacing w:line="480" w:lineRule="auto" w:before="240" w:after="0"/>
        <w:jc w:val="center"/>
      </w:pPr>
      <w:r>
        <w:rPr>
          <w:rFonts w:ascii="Times New Roman" w:hAnsi="Times New Roman"/>
          <w:b/>
          <w:sz w:val="24"/>
        </w:rPr>
        <w:t>AUTHOR DECLARATIONS</w:t>
      </w:r>
    </w:p>
    <w:p>
      <w:pPr>
        <w:spacing w:line="480" w:lineRule="auto" w:before="240" w:after="0"/>
        <w:jc w:val="left"/>
      </w:pPr>
      <w:r>
        <w:rPr>
          <w:rFonts w:ascii="Times New Roman" w:hAnsi="Times New Roman"/>
          <w:b/>
          <w:i/>
          <w:sz w:val="24"/>
        </w:rPr>
        <w:t>Conflict of Interest</w:t>
      </w:r>
    </w:p>
    <w:p>
      <w:pPr>
        <w:spacing w:line="480" w:lineRule="auto" w:after="0" w:before="0"/>
      </w:pPr>
      <w:r>
        <w:rPr>
          <w:rFonts w:ascii="Times New Roman" w:hAnsi="Times New Roman"/>
          <w:b w:val="0"/>
          <w:i w:val="0"/>
          <w:sz w:val="24"/>
        </w:rPr>
        <w:t>The authors have no conflicts of interest to disclose.</w:t>
      </w:r>
    </w:p>
    <w:p>
      <w:pPr>
        <w:spacing w:line="480" w:lineRule="auto" w:before="240" w:after="0"/>
        <w:jc w:val="left"/>
      </w:pPr>
      <w:r>
        <w:rPr>
          <w:rFonts w:ascii="Times New Roman" w:hAnsi="Times New Roman"/>
          <w:b/>
          <w:i/>
          <w:sz w:val="24"/>
        </w:rPr>
        <w:t>Data Availability</w:t>
      </w:r>
    </w:p>
    <w:p>
      <w:pPr>
        <w:spacing w:line="480" w:lineRule="auto" w:after="0" w:before="0"/>
      </w:pPr>
      <w:r>
        <w:rPr>
          <w:rFonts w:ascii="Times New Roman" w:hAnsi="Times New Roman"/>
          <w:b w:val="0"/>
          <w:i w:val="0"/>
          <w:sz w:val="24"/>
        </w:rPr>
        <w:t>The data that support the findings of this study are openly available. All acoustic recordings were obtained from the Watkins Marine Mammal Sound Database (WMMS), maintained by the Woods Hole Oceanographic Institution and publicly accessible at https://whoicf2.whoi.edu/science/B/whalesounds/index.cfm. The dataset was accessed in Parquet format via the HuggingFace repository (https://huggingface.co/datasets/confit/wmms-parquet). The database contains 1,357 recordings from 32 marine mammal species and is freely available for research purposes without access restrictions.</w:t>
      </w:r>
    </w:p>
    <w:p>
      <w:pPr>
        <w:spacing w:line="480" w:lineRule="auto" w:before="240" w:after="0"/>
        <w:jc w:val="left"/>
      </w:pPr>
      <w:r>
        <w:rPr>
          <w:rFonts w:ascii="Times New Roman" w:hAnsi="Times New Roman"/>
          <w:b/>
          <w:i/>
          <w:sz w:val="24"/>
        </w:rPr>
        <w:t>Code Availability</w:t>
      </w:r>
    </w:p>
    <w:p>
      <w:pPr>
        <w:spacing w:line="480" w:lineRule="auto" w:after="0" w:before="0"/>
      </w:pPr>
      <w:r>
        <w:rPr>
          <w:rFonts w:ascii="Times New Roman" w:hAnsi="Times New Roman"/>
          <w:b w:val="0"/>
          <w:i w:val="0"/>
          <w:sz w:val="24"/>
        </w:rPr>
        <w:t>The analysis code used in this study is available on GitHub at https://github.com/bougtoir/wip/tree/devin/1774578035-cetacean-acoustic-analysis/cetacean_analysis. The repository includes all Python scripts for spectrogram analysis, inter-click interval analysis, bispectral analysis, information entropy analysis, temporal structure analysis, cross-species comparison, and CDMA-like orthogonality testing.</w:t>
      </w:r>
    </w:p>
    <w:p>
      <w:pPr>
        <w:spacing w:line="480" w:lineRule="auto" w:before="240" w:after="0"/>
        <w:jc w:val="center"/>
      </w:pPr>
      <w:r>
        <w:rPr>
          <w:rFonts w:ascii="Times New Roman" w:hAnsi="Times New Roman"/>
          <w:b/>
          <w:sz w:val="24"/>
        </w:rPr>
        <w:t>REFERENCES</w:t>
      </w:r>
    </w:p>
    <w:p>
      <w:pPr>
        <w:spacing w:line="480" w:lineRule="auto"/>
        <w:ind w:hanging="720" w:left="720"/>
      </w:pPr>
      <w:r>
        <w:rPr>
          <w:rFonts w:ascii="Times New Roman" w:hAnsi="Times New Roman"/>
          <w:sz w:val="24"/>
        </w:rPr>
        <w:t>Arnon, E., Winter, Y., Zollman, K., and Piantadosi, S. T. (2025). “Zipf’s law of abbreviation in humpback whale song,” Science.</w:t>
      </w:r>
    </w:p>
    <w:p>
      <w:pPr>
        <w:spacing w:line="480" w:lineRule="auto"/>
        <w:ind w:hanging="720" w:left="720"/>
      </w:pPr>
      <w:r>
        <w:rPr>
          <w:rFonts w:ascii="Times New Roman" w:hAnsi="Times New Roman"/>
          <w:sz w:val="24"/>
        </w:rPr>
        <w:t>Begus, G., Levin, L. A., and Gero, S. (2025). “Vowel-like spectral patterns in sperm whale codas,” UC Berkeley / Project CETI Working Paper.</w:t>
      </w:r>
    </w:p>
    <w:p>
      <w:pPr>
        <w:spacing w:line="480" w:lineRule="auto"/>
        <w:ind w:hanging="720" w:left="720"/>
      </w:pPr>
      <w:r>
        <w:rPr>
          <w:rFonts w:ascii="Times New Roman" w:hAnsi="Times New Roman"/>
          <w:sz w:val="24"/>
        </w:rPr>
        <w:t>Lefevre, C., Garcia, M., Pisanski, K., and Mathevon, N. (2025). “Biphonation in animal vocalizations,” Phil. Trans. R. Soc. B.</w:t>
      </w:r>
    </w:p>
    <w:p>
      <w:pPr>
        <w:spacing w:line="480" w:lineRule="auto"/>
        <w:ind w:hanging="720" w:left="720"/>
      </w:pPr>
      <w:r>
        <w:rPr>
          <w:rFonts w:ascii="Times New Roman" w:hAnsi="Times New Roman"/>
          <w:sz w:val="24"/>
        </w:rPr>
        <w:t>Li, W. (1992). “Random texts exhibit Zipf’s-law-like word frequency distribution,” IEEE Trans. Inf. Theory 38(6), 1842–1845.</w:t>
      </w:r>
    </w:p>
    <w:p>
      <w:pPr>
        <w:spacing w:line="480" w:lineRule="auto"/>
        <w:ind w:hanging="720" w:left="720"/>
      </w:pPr>
      <w:r>
        <w:rPr>
          <w:rFonts w:ascii="Times New Roman" w:hAnsi="Times New Roman"/>
          <w:sz w:val="24"/>
        </w:rPr>
        <w:t>Møhl, B., Wahlberg, M., Madsen, P. T., Heerfordt, A., and Lund, A. (2003). “The monopulsed nature of sperm whale clicks,” J. Acoust. Soc. Am. 114(2), 1143–1154.</w:t>
      </w:r>
    </w:p>
    <w:p>
      <w:pPr>
        <w:spacing w:line="480" w:lineRule="auto"/>
        <w:ind w:hanging="720" w:left="720"/>
      </w:pPr>
      <w:r>
        <w:rPr>
          <w:rFonts w:ascii="Times New Roman" w:hAnsi="Times New Roman"/>
          <w:sz w:val="24"/>
        </w:rPr>
        <w:t>Oliveira, C., Wahlberg, M., Johnson, M., Miller, P. J. O., and Madsen, P. T. (2016). “The function of male sperm whale slow clicks in a high latitude habitat: Communication, echolocation, or prey debilitation?,” J. Acoust. Soc. Am. 140(4), 2898–2911.</w:t>
      </w:r>
    </w:p>
    <w:p>
      <w:pPr>
        <w:spacing w:line="480" w:lineRule="auto"/>
        <w:ind w:hanging="720" w:left="720"/>
      </w:pPr>
      <w:r>
        <w:rPr>
          <w:rFonts w:ascii="Times New Roman" w:hAnsi="Times New Roman"/>
          <w:sz w:val="24"/>
        </w:rPr>
        <w:t>Payne, R. S., and Webb, D. (1971). “Orientation by means of long range acoustic signaling in baleen whales,” Ann. N.Y. Acad. Sci. 188(1), 110–141.</w:t>
      </w:r>
    </w:p>
    <w:p>
      <w:pPr>
        <w:spacing w:line="480" w:lineRule="auto"/>
        <w:ind w:hanging="720" w:left="720"/>
      </w:pPr>
      <w:r>
        <w:rPr>
          <w:rFonts w:ascii="Times New Roman" w:hAnsi="Times New Roman"/>
          <w:sz w:val="24"/>
        </w:rPr>
        <w:t>Sayigh, L. S., Daher, M. A., Allen, J., Gordon, H., Joyce, K., Stuhlmann, C., and Tyack, P. (2016). “The Watkins Marine Mammal Sound Database: An online, freely accessible resource,” Proc. Mtgs. Acoust. 27, 040013.</w:t>
      </w:r>
    </w:p>
    <w:p>
      <w:pPr>
        <w:spacing w:line="480" w:lineRule="auto"/>
        <w:ind w:hanging="720" w:left="720"/>
      </w:pPr>
      <w:r>
        <w:rPr>
          <w:rFonts w:ascii="Times New Roman" w:hAnsi="Times New Roman"/>
          <w:sz w:val="24"/>
        </w:rPr>
        <w:t>Sharma, G., Gero, S., Coen, R. G., Payne, R., Gruber, D. F., and Bronstein, M. M. (2024). “Contextual and combinatorial structure in sperm whale vocalisations,” Nat. Commun. 15, 3143.</w:t>
      </w:r>
    </w:p>
    <w:p>
      <w:pPr>
        <w:spacing w:line="480" w:lineRule="auto"/>
        <w:ind w:hanging="720" w:left="720"/>
      </w:pPr>
      <w:r>
        <w:rPr>
          <w:rFonts w:ascii="Times New Roman" w:hAnsi="Times New Roman"/>
          <w:sz w:val="24"/>
        </w:rPr>
        <w:t>Tyack, P. L., and Clark, C. W. (2000). “Communication and acoustic behavior of dolphins and whales,” in Hearing by Whales and Dolphins, edited by W. W. L. Au, A. N. Popper, and R. R. Fay (Springer, New York), pp. 156–224.</w:t>
      </w:r>
    </w:p>
    <w:p>
      <w:pPr>
        <w:spacing w:line="480" w:lineRule="auto"/>
        <w:ind w:hanging="720" w:left="720"/>
      </w:pPr>
      <w:r>
        <w:rPr>
          <w:rFonts w:ascii="Times New Roman" w:hAnsi="Times New Roman"/>
          <w:sz w:val="24"/>
        </w:rPr>
        <w:t>Viterbi, A. J. (1995). CDMA: Principles of Spread Spectrum Communication (Addison-Wesley, Reading, MA).</w:t>
      </w:r>
    </w:p>
    <w:p>
      <w:pPr>
        <w:spacing w:line="480" w:lineRule="auto"/>
        <w:ind w:hanging="720" w:left="720"/>
      </w:pPr>
      <w:r>
        <w:rPr>
          <w:rFonts w:ascii="Times New Roman" w:hAnsi="Times New Roman"/>
          <w:sz w:val="24"/>
        </w:rPr>
        <w:t>Watkins, W. A., and Schevill, W. E. (1977). “Sperm whale codas,” J. Acoust. Soc. Am. 62(6), 1485–1490.</w:t>
      </w:r>
    </w:p>
    <w:p>
      <w:pPr>
        <w:spacing w:line="480" w:lineRule="auto"/>
        <w:ind w:hanging="720" w:left="720"/>
      </w:pPr>
      <w:r>
        <w:rPr>
          <w:rFonts w:ascii="Times New Roman" w:hAnsi="Times New Roman"/>
          <w:sz w:val="24"/>
        </w:rPr>
        <w:t>Westervelt, P. J. (1963). “Parametric acoustic array,” J. Acoust. Soc. Am. 35(4), 535–537.</w:t>
      </w:r>
    </w:p>
    <w:p>
      <w:pPr>
        <w:spacing w:line="480" w:lineRule="auto"/>
        <w:ind w:hanging="720" w:left="720"/>
      </w:pPr>
      <w:r>
        <w:rPr>
          <w:rFonts w:ascii="Times New Roman" w:hAnsi="Times New Roman"/>
          <w:sz w:val="24"/>
        </w:rPr>
        <w:t>Youngblood, M. (2025). “Language-like efficiency and structure in whale communication,” Sci. Adv.</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