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Dear Editor,</w:t>
      </w:r>
    </w:p>
    <w:p>
      <w:r>
        <w:rPr>
          <w:rFonts w:ascii="Times New Roman" w:hAnsi="Times New Roman"/>
          <w:sz w:val="24"/>
        </w:rPr>
        <w:t>I submit my manuscript, "Encoded-unit granularity, not phonological channel size, sets the scale of writing-system symbol inventories," for consideration in the Journal of Quantitative Linguistics.</w:t>
      </w:r>
    </w:p>
    <w:p>
      <w:r>
        <w:rPr>
          <w:rFonts w:ascii="Times New Roman" w:hAnsi="Times New Roman"/>
          <w:sz w:val="24"/>
        </w:rPr>
        <w:t>The paper asks whether the number of symbols in a writing system tracks the size of the phonological inventory it encodes, or the architecture of the encoding itself. Using a new dependence-aware dataset of 544 language×script pairs (PHOIBLE, CLDR, Glottolog) with a frozen analysis plan and negative controls, I find a decoupling: phoneme inventories are essentially constant across architectures while symbol inventories scale by orders of magnitude with encoded-unit granularity. The manuscript reports confirmatory results, negative controls, and several null results that constrain the theory rather than weaken it, and shows that the encoded-unit size of an unknown symbolic channel is recoverable from inventory statistics alone while its elementary inventory is not.</w:t>
      </w:r>
    </w:p>
    <w:p>
      <w:r>
        <w:rPr>
          <w:rFonts w:ascii="Times New Roman" w:hAnsi="Times New Roman"/>
          <w:sz w:val="24"/>
        </w:rPr>
        <w:t>I believe this fits the journal's remit in quantitative and typological linguistics, particularly its interest in statistical models of linguistic structure under genealogical dependence.</w:t>
      </w:r>
    </w:p>
    <w:p>
      <w:r>
        <w:rPr>
          <w:rFonts w:ascii="Times New Roman" w:hAnsi="Times New Roman"/>
          <w:sz w:val="24"/>
        </w:rPr>
        <w:t>I declare no competing interests. The manuscript is original, not under consideration elsewhere, and all analysis code and derived data are openly available for verification.</w:t>
      </w:r>
    </w:p>
    <w:p>
      <w:r>
        <w:rPr>
          <w:rFonts w:ascii="Times New Roman" w:hAnsi="Times New Roman"/>
          <w:sz w:val="24"/>
        </w:rPr>
        <w:t>Sincerely,</w:t>
      </w:r>
    </w:p>
    <w:p>
      <w:r>
        <w:rPr>
          <w:rFonts w:ascii="Times New Roman" w:hAnsi="Times New Roman"/>
          <w:sz w:val="24"/>
        </w:rPr>
        <w:t>Onishi Tatsuki</w:t>
        <w:br/>
        <w:t>Graduate School of Data Science, Shiga University</w:t>
        <w:br/>
        <w:t>Hikone, Japan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