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sz w:val="22"/>
        </w:rPr>
        <w:t>[Date]</w:t>
      </w:r>
    </w:p>
    <w:p/>
    <w:p>
      <w:pPr>
        <w:spacing w:after="120"/>
      </w:pPr>
      <w:r>
        <w:rPr>
          <w:rFonts w:ascii="Arial" w:hAnsi="Arial"/>
          <w:b w:val="0"/>
          <w:i w:val="0"/>
          <w:sz w:val="22"/>
        </w:rPr>
        <w:t>Professor Andrew Klein</w:t>
      </w:r>
    </w:p>
    <w:p>
      <w:pPr>
        <w:spacing w:after="120"/>
      </w:pPr>
      <w:r>
        <w:rPr>
          <w:rFonts w:ascii="Arial" w:hAnsi="Arial"/>
          <w:b w:val="0"/>
          <w:i w:val="0"/>
          <w:sz w:val="22"/>
        </w:rPr>
        <w:t>Editor-in-Chief</w:t>
      </w:r>
    </w:p>
    <w:p>
      <w:pPr>
        <w:spacing w:after="120"/>
      </w:pPr>
      <w:r>
        <w:rPr>
          <w:rFonts w:ascii="Arial" w:hAnsi="Arial"/>
          <w:b w:val="0"/>
          <w:i w:val="0"/>
          <w:sz w:val="22"/>
        </w:rPr>
        <w:t>Anaesthesia</w:t>
      </w:r>
    </w:p>
    <w:p/>
    <w:p>
      <w:pPr>
        <w:spacing w:after="120"/>
      </w:pPr>
      <w:r>
        <w:rPr>
          <w:rFonts w:ascii="Arial" w:hAnsi="Arial"/>
          <w:b w:val="0"/>
          <w:i w:val="0"/>
          <w:sz w:val="22"/>
        </w:rPr>
        <w:t>Dear Professor Klein,</w:t>
      </w:r>
    </w:p>
    <w:p/>
    <w:p>
      <w:pPr>
        <w:spacing w:after="120"/>
      </w:pPr>
      <w:r>
        <w:rPr>
          <w:rFonts w:ascii="Arial" w:hAnsi="Arial"/>
          <w:b/>
          <w:i w:val="0"/>
          <w:sz w:val="22"/>
        </w:rPr>
        <w:t>Re: Submission of manuscript entitled “Ice age for anaesthesia: a scoping review of cryoanalgesia as patient safety insurance against local anaesthetic shortages”</w:t>
      </w:r>
    </w:p>
    <w:p/>
    <w:p>
      <w:pPr>
        <w:spacing w:after="120"/>
      </w:pPr>
      <w:r>
        <w:rPr>
          <w:rFonts w:ascii="Arial" w:hAnsi="Arial"/>
          <w:b w:val="0"/>
          <w:i w:val="0"/>
          <w:sz w:val="22"/>
        </w:rPr>
        <w:t>We are pleased to submit the above manuscript for consideration as a Review Article in Anaesthesia.</w:t>
      </w:r>
    </w:p>
    <w:p>
      <w:pPr>
        <w:spacing w:after="120"/>
      </w:pPr>
      <w:r>
        <w:rPr>
          <w:rFonts w:ascii="Arial" w:hAnsi="Arial"/>
          <w:b w:val="0"/>
          <w:i w:val="0"/>
          <w:sz w:val="22"/>
        </w:rPr>
        <w:t>Local anaesthetic shortages are an escalating patient safety concern with direct clinical impact on anaesthetic practice. Manufacturing concentration, regulatory failures at production facilities in India and elsewhere, and fragile just-in-time supply chains have created a situation where essential agents such as bupivacaine, lidocaine, and ropivacaine can become unavailable with little warning. The US FDA currently lists 194 drug shortages including injectable anaesthetic agents, and the European Medicines Agency has twice suspended hundreds of generic medicines over GCP violations at Indian manufacturing sites. When these drugs become unavailable, regional anaesthesia cannot be performed, procedures are cancelled or conducted with suboptimal analgesia, and patients suffer preventable harm.</w:t>
      </w:r>
    </w:p>
    <w:p>
      <w:pPr>
        <w:spacing w:after="120"/>
      </w:pPr>
      <w:r>
        <w:rPr>
          <w:rFonts w:ascii="Arial" w:hAnsi="Arial"/>
          <w:b w:val="0"/>
          <w:i w:val="0"/>
          <w:sz w:val="22"/>
        </w:rPr>
        <w:t>Our scoping review systematically maps the evidence for cryoanalgesia — cold-induced nerve blockade — as a drug-free alternative to local anaesthetics across five clinical domains. This is the first systematic evaluation of non-pharmacological alternatives as a contingency strategy during pharmaceutical supply disruptions.</w:t>
      </w:r>
    </w:p>
    <w:p>
      <w:pPr>
        <w:spacing w:after="120"/>
      </w:pPr>
      <w:r>
        <w:rPr>
          <w:rFonts w:ascii="Arial" w:hAnsi="Arial"/>
          <w:b/>
          <w:i w:val="0"/>
          <w:sz w:val="22"/>
        </w:rPr>
        <w:t>Key findings:</w:t>
      </w:r>
    </w:p>
    <w:p>
      <w:pPr>
        <w:spacing w:after="120"/>
      </w:pPr>
      <w:r>
        <w:rPr>
          <w:rFonts w:ascii="Arial" w:hAnsi="Arial"/>
          <w:b w:val="0"/>
          <w:i w:val="0"/>
          <w:sz w:val="22"/>
        </w:rPr>
        <w:t>• We identified 47 studies (28 RCTs) comparing cryoanalgesic modalities with local anaesthetic drugs across dental, vascular access, thoracic surgery, orthopaedic, and dermatological procedures.</w:t>
      </w:r>
    </w:p>
    <w:p>
      <w:pPr>
        <w:spacing w:after="120"/>
      </w:pPr>
      <w:r>
        <w:rPr>
          <w:rFonts w:ascii="Arial" w:hAnsi="Arial"/>
          <w:b w:val="0"/>
          <w:i w:val="0"/>
          <w:sz w:val="22"/>
        </w:rPr>
        <w:t>• For superficial applications (dental procedures, venepuncture), ice and vapocoolant sprays demonstrate non-inferiority to topical local anaesthetics — implementable immediately at zero cost with no additional equipment.</w:t>
      </w:r>
    </w:p>
    <w:p>
      <w:pPr>
        <w:spacing w:after="120"/>
      </w:pPr>
      <w:r>
        <w:rPr>
          <w:rFonts w:ascii="Arial" w:hAnsi="Arial"/>
          <w:b w:val="0"/>
          <w:i w:val="0"/>
          <w:sz w:val="22"/>
        </w:rPr>
        <w:t>• For deeper applications, one landmark RCT (Finneran et al., Anesthesiology 2025) directly compared percutaneous cryoneurolysis with ropivacaine intercostal nerve blocks for rib fracture pain — the first head-to-head comparison of cryoneurolysis versus a local anaesthetic-based regional technique.</w:t>
      </w:r>
    </w:p>
    <w:p>
      <w:pPr>
        <w:spacing w:after="120"/>
      </w:pPr>
      <w:r>
        <w:rPr>
          <w:rFonts w:ascii="Arial" w:hAnsi="Arial"/>
          <w:b w:val="0"/>
          <w:i w:val="0"/>
          <w:sz w:val="22"/>
        </w:rPr>
        <w:t>• We propose the first Clinical Preparedness Protocol — a tiered framework mapping cryoanalgesic alternatives to escalating shortage severity, enabling anaesthetic departments to prepare before crises occur.</w:t>
      </w:r>
    </w:p>
    <w:p>
      <w:pPr>
        <w:spacing w:after="120"/>
      </w:pPr>
      <w:r>
        <w:rPr>
          <w:rFonts w:ascii="Arial" w:hAnsi="Arial"/>
          <w:b/>
          <w:i w:val="0"/>
          <w:sz w:val="22"/>
        </w:rPr>
        <w:t>We believe this manuscript is particularly suited to Anaesthesia because:</w:t>
      </w:r>
    </w:p>
    <w:p>
      <w:pPr>
        <w:spacing w:after="120"/>
      </w:pPr>
      <w:r>
        <w:rPr>
          <w:rFonts w:ascii="Arial" w:hAnsi="Arial"/>
          <w:b w:val="0"/>
          <w:i w:val="0"/>
          <w:sz w:val="22"/>
        </w:rPr>
        <w:t>• The work addresses a practical clinical challenge directly relevant to anaesthetists: maintaining regional and local anaesthetic capability when pharmaceutical agents are unavailable.</w:t>
      </w:r>
    </w:p>
    <w:p>
      <w:pPr>
        <w:spacing w:after="120"/>
      </w:pPr>
      <w:r>
        <w:rPr>
          <w:rFonts w:ascii="Arial" w:hAnsi="Arial"/>
          <w:b w:val="0"/>
          <w:i w:val="0"/>
          <w:sz w:val="22"/>
        </w:rPr>
        <w:t>• The Clinical Preparedness Protocol provides an actionable framework for anaesthetic departments to integrate into their contingency planning.</w:t>
      </w:r>
    </w:p>
    <w:p>
      <w:pPr>
        <w:spacing w:after="120"/>
      </w:pPr>
      <w:r>
        <w:rPr>
          <w:rFonts w:ascii="Arial" w:hAnsi="Arial"/>
          <w:b w:val="0"/>
          <w:i w:val="0"/>
          <w:sz w:val="22"/>
        </w:rPr>
        <w:t>• Cryoneurolysis is an emerging technique of growing interest to the anaesthesia community, and this review provides the first comprehensive mapping of its evidence base as an alternative to local anaesthetic drugs.</w:t>
      </w:r>
    </w:p>
    <w:p>
      <w:pPr>
        <w:spacing w:after="120"/>
      </w:pPr>
      <w:r>
        <w:rPr>
          <w:rFonts w:ascii="Arial" w:hAnsi="Arial"/>
          <w:b w:val="0"/>
          <w:i w:val="0"/>
          <w:sz w:val="22"/>
        </w:rPr>
        <w:t>• The patient safety framing aligns with Anaesthesia’s commitment to improving perioperative care and clinical governance.</w:t>
      </w:r>
    </w:p>
    <w:p>
      <w:pPr>
        <w:spacing w:after="120"/>
      </w:pPr>
      <w:r>
        <w:rPr>
          <w:rFonts w:ascii="Arial" w:hAnsi="Arial"/>
          <w:b w:val="0"/>
          <w:i w:val="0"/>
          <w:sz w:val="22"/>
        </w:rPr>
        <w:t>The manuscript is approximately 3800 words (excluding Summary, references, tables, and figure legends), includes 3 tables and 2 figures, and cites 58 references. It adheres to PRISMA-ScR reporting guidelines; the completed checklist is provided as Supporting Information (Appendix S1). This manuscript is not under consideration elsewhere, has not been previously published, and all authors have approved the submission.</w:t>
      </w:r>
    </w:p>
    <w:p/>
    <w:p>
      <w:pPr>
        <w:spacing w:after="120"/>
      </w:pPr>
      <w:r>
        <w:rPr>
          <w:rFonts w:ascii="Arial" w:hAnsi="Arial"/>
          <w:b/>
          <w:i w:val="0"/>
          <w:sz w:val="22"/>
        </w:rPr>
        <w:t>[Author name(s)]</w:t>
      </w:r>
    </w:p>
    <w:p>
      <w:pPr>
        <w:spacing w:after="120"/>
      </w:pPr>
      <w:r>
        <w:rPr>
          <w:rFonts w:ascii="Arial" w:hAnsi="Arial"/>
          <w:b w:val="0"/>
          <w:i/>
          <w:sz w:val="22"/>
        </w:rPr>
        <w:t>[Author affiliation(s)]</w:t>
      </w:r>
    </w:p>
    <w:p>
      <w:pPr>
        <w:spacing w:after="120"/>
      </w:pPr>
      <w:r>
        <w:rPr>
          <w:rFonts w:ascii="Arial" w:hAnsi="Arial"/>
          <w:b w:val="0"/>
          <w:i/>
          <w:sz w:val="22"/>
        </w:rPr>
        <w:t>[Correspondence: Author Name, Email: author@institution.ac.uk]</w:t>
      </w:r>
    </w:p>
    <w:p/>
    <w:p>
      <w:pPr>
        <w:spacing w:after="120"/>
      </w:pPr>
      <w:r>
        <w:rPr>
          <w:rFonts w:ascii="Arial" w:hAnsi="Arial"/>
          <w:b w:val="0"/>
          <w:i w:val="0"/>
          <w:sz w:val="22"/>
        </w:rPr>
        <w:t>Yours sincerely,</w:t>
      </w:r>
    </w:p>
    <w:p>
      <w:pPr>
        <w:spacing w:after="120"/>
      </w:pPr>
      <w:r>
        <w:rPr>
          <w:rFonts w:ascii="Arial" w:hAnsi="Arial"/>
          <w:b w:val="0"/>
          <w:i w:val="0"/>
          <w:sz w:val="22"/>
        </w:rPr>
        <w:t>[Corresponding Author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