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val="0"/>
          <w:i w:val="0"/>
          <w:sz w:val="24"/>
        </w:rPr>
        <w:t>[Date]</w:t>
      </w:r>
    </w:p>
    <w:p>
      <w:pPr>
        <w:spacing w:after="0"/>
      </w:pPr>
      <w:r>
        <w:rPr>
          <w:rFonts w:ascii="Times New Roman" w:hAnsi="Times New Roman"/>
          <w:b w:val="0"/>
          <w:i w:val="0"/>
          <w:sz w:val="24"/>
        </w:rPr>
        <w:t>The Editor-in-Chief</w:t>
      </w:r>
    </w:p>
    <w:p>
      <w:pPr>
        <w:spacing w:after="0"/>
      </w:pPr>
      <w:r>
        <w:rPr>
          <w:rFonts w:ascii="Times New Roman" w:hAnsi="Times New Roman"/>
          <w:b w:val="0"/>
          <w:i w:val="0"/>
          <w:sz w:val="24"/>
        </w:rPr>
        <w:t>British Journal of Anaesthesia</w:t>
      </w:r>
    </w:p>
    <w:p>
      <w:pPr>
        <w:spacing w:after="240"/>
      </w:pPr>
      <w:r>
        <w:rPr>
          <w:rFonts w:ascii="Times New Roman" w:hAnsi="Times New Roman"/>
          <w:b w:val="0"/>
          <w:i w:val="0"/>
          <w:sz w:val="24"/>
        </w:rPr>
        <w:t>Editorial Office</w:t>
      </w:r>
    </w:p>
    <w:p>
      <w:pPr>
        <w:spacing w:after="240"/>
      </w:pPr>
      <w:r>
        <w:rPr>
          <w:rFonts w:ascii="Times New Roman" w:hAnsi="Times New Roman"/>
          <w:b/>
          <w:i w:val="0"/>
          <w:sz w:val="24"/>
        </w:rPr>
        <w:t>Re: Submission of manuscript entitled "Cryoanalgesia as an alternative to local anaesthetic drugs during supply chain disruptions: a scoping review"</w:t>
      </w:r>
    </w:p>
    <w:p>
      <w:pPr>
        <w:spacing w:after="240"/>
      </w:pPr>
      <w:r>
        <w:rPr>
          <w:rFonts w:ascii="Times New Roman" w:hAnsi="Times New Roman"/>
          <w:b w:val="0"/>
          <w:i w:val="0"/>
          <w:sz w:val="24"/>
        </w:rPr>
        <w:t>Dear Editor,</w:t>
      </w:r>
    </w:p>
    <w:p>
      <w:pPr>
        <w:spacing w:after="240"/>
      </w:pPr>
      <w:r>
        <w:rPr>
          <w:rFonts w:ascii="Times New Roman" w:hAnsi="Times New Roman"/>
          <w:b w:val="0"/>
          <w:i w:val="0"/>
          <w:sz w:val="24"/>
        </w:rPr>
        <w:t>We are pleased to submit the enclosed manuscript for consideration for publication in the British Journal of Anaesthesia as a Systematic Review (Scoping Review). This PRISMA-ScR compliant scoping review systematically maps the evidence for cryoanalgesia as a drug-free alternative to local anaesthetic drugs, a topic of immediate clinical relevance given the ongoing global shortages of lidocaine, bupivacaine, and other injectable anaesthetics.</w:t>
      </w:r>
    </w:p>
    <w:p>
      <w:pPr>
        <w:spacing w:after="240"/>
      </w:pPr>
      <w:r>
        <w:rPr>
          <w:rFonts w:ascii="Times New Roman" w:hAnsi="Times New Roman"/>
          <w:b w:val="0"/>
          <w:i w:val="0"/>
          <w:sz w:val="24"/>
        </w:rPr>
        <w:t>Local anaesthetic drug shortages have become a structural feature of the pharmaceutical landscape. Since mid-2023, the United States has experienced persistent shortages of lidocaine with epinephrine, and the American Society of Health-System Pharmacists continues to list bupivacaine injection as a drug in shortage. In the European Union, recurrent regulatory actions against Indian pharmaceutical manufacturers — including the suspension of over 700 generic medicines following GCP violations at GVK Biosciences (2015) and approximately 400 medicines following irregularities at Synapse Labs (2023) — have created episodic supply shocks. The BMJ recently called drug shortages "an urgent priority," noting that UK supply disruption notifications doubled between 2022 and 2024.</w:t>
      </w:r>
    </w:p>
    <w:p>
      <w:pPr>
        <w:spacing w:after="240"/>
      </w:pPr>
      <w:r>
        <w:rPr>
          <w:rFonts w:ascii="Times New Roman" w:hAnsi="Times New Roman"/>
          <w:b w:val="0"/>
          <w:i w:val="0"/>
          <w:sz w:val="24"/>
        </w:rPr>
        <w:t>Our review identified 47 studies (28 RCTs, 8 systematic reviews/meta-analyses, 6 cohort studies, 5 case series) across five clinical domains. Key findings include: (i) ice application is non-inferior to topical local anaesthetic gel for dental pre-injection analgesia (7 RCTs, 3 systematic reviews); (ii) vapocoolant sprays are effective for adult venepuncture (SR/MA of 25 RCTs; SMD −0.65) but not for paediatric venepuncture; (iii) intercostal cryoneurolysis reduces opioid consumption after thoracic surgery but has almost never been directly compared with local anaesthetic nerve blocks; and (iv) no study has examined cryoanalgesia explicitly as a shortage contingency strategy. Based on these findings, we propose a tiered implementation framework for cryoanalgesia during local anaesthetic shortages, ranging from immediately implementable interventions (ice for dental procedures, vapocoolant spray for adult venepuncture) to research priorities (cryoneurolysis versus local anaesthetic nerve blocks).</w:t>
      </w:r>
    </w:p>
    <w:p>
      <w:pPr>
        <w:spacing w:after="240"/>
      </w:pPr>
      <w:r>
        <w:rPr>
          <w:rFonts w:ascii="Times New Roman" w:hAnsi="Times New Roman"/>
          <w:b w:val="0"/>
          <w:i w:val="0"/>
          <w:sz w:val="24"/>
        </w:rPr>
        <w:t>We believe this manuscript is well suited to the British Journal of Anaesthesia for several reasons. First, the intersection of cryoanalgesia and pharmaceutical supply chain resilience is an entirely unmapped research territory that will be of interest to clinicians, researchers, and policymakers in anaesthesia. Second, the tiered framework provides actionable guidance for institutions facing local anaesthetic shortages — a scenario increasingly likely given current supply chain dynamics. Third, the review identifies critical evidence gaps, particularly the near-absence of direct comparisons between cryoneurolysis and local anaesthetic nerve blocks, that should catalyse new research in perioperative analgesia.</w:t>
      </w:r>
    </w:p>
    <w:p>
      <w:pPr>
        <w:spacing w:after="240"/>
      </w:pPr>
      <w:r>
        <w:rPr>
          <w:rFonts w:ascii="Times New Roman" w:hAnsi="Times New Roman"/>
          <w:b w:val="0"/>
          <w:i w:val="0"/>
          <w:sz w:val="24"/>
        </w:rPr>
        <w:t>The manuscript contains approximately 4900 words of body text (excluding abstract, references, tables, and figures), a structured abstract of approximately 250 words, 62 references, 4 tables, and 2 figures (6 items total), which falls within the journal’s limits for systematic reviews. Supplementary material includes the full search strategy, PRISMA-ScR checklist, and data charting form.</w:t>
      </w:r>
    </w:p>
    <w:p>
      <w:pPr>
        <w:spacing w:after="240"/>
      </w:pPr>
      <w:r>
        <w:rPr>
          <w:rFonts w:ascii="Times New Roman" w:hAnsi="Times New Roman"/>
          <w:b w:val="0"/>
          <w:i w:val="0"/>
          <w:sz w:val="24"/>
        </w:rPr>
        <w:t>This work did not require ethical approval as it is a review of published literature. All authors have approved the manuscript and agree with its submission to the British Journal of Anaesthesia. The manuscript has not been published previously and is not under consideration by any other journal. The authors have no conflicts of interest to declare and no funding was received for this work.</w:t>
      </w:r>
    </w:p>
    <w:p>
      <w:pPr>
        <w:spacing w:after="40"/>
      </w:pPr>
      <w:r>
        <w:rPr>
          <w:rFonts w:ascii="Times New Roman" w:hAnsi="Times New Roman"/>
          <w:b w:val="0"/>
          <w:i w:val="0"/>
          <w:sz w:val="24"/>
        </w:rPr>
        <w:t>We suggest the following potential reviewers who have expertise in cryoanalgesia and/or perioperative regional analgesia:</w:t>
      </w:r>
    </w:p>
    <w:p>
      <w:pPr>
        <w:spacing w:after="0"/>
      </w:pPr>
      <w:r>
        <w:rPr>
          <w:rFonts w:ascii="Times New Roman" w:hAnsi="Times New Roman"/>
          <w:b w:val="0"/>
          <w:i w:val="0"/>
          <w:sz w:val="24"/>
        </w:rPr>
        <w:t>• Professor Brian M. Ilfeld, University of California San Diego, USA — leading authority on cryoneurolysis for acute and chronic pain</w:t>
      </w:r>
    </w:p>
    <w:p>
      <w:pPr>
        <w:spacing w:after="0"/>
      </w:pPr>
      <w:r>
        <w:rPr>
          <w:rFonts w:ascii="Times New Roman" w:hAnsi="Times New Roman"/>
          <w:b w:val="0"/>
          <w:i w:val="0"/>
          <w:sz w:val="24"/>
        </w:rPr>
        <w:t>• Professor Andrea M. Trescot, Pain and Headache Center, Alaska, USA — expert in cryoneurolysis devices and applications</w:t>
      </w:r>
    </w:p>
    <w:p>
      <w:pPr>
        <w:spacing w:after="240"/>
      </w:pPr>
      <w:r>
        <w:rPr>
          <w:rFonts w:ascii="Times New Roman" w:hAnsi="Times New Roman"/>
          <w:b w:val="0"/>
          <w:i w:val="0"/>
          <w:sz w:val="24"/>
        </w:rPr>
        <w:t>• Dr Hyun-Jung Park, Seoul National University, South Korea — author of systematic review/meta-analysis of cryoanalgesia for postsurgical pain</w:t>
      </w:r>
    </w:p>
    <w:p>
      <w:pPr>
        <w:spacing w:after="240"/>
      </w:pPr>
      <w:r>
        <w:rPr>
          <w:rFonts w:ascii="Times New Roman" w:hAnsi="Times New Roman"/>
          <w:b w:val="0"/>
          <w:i w:val="0"/>
          <w:sz w:val="24"/>
        </w:rPr>
        <w:t>We thank you for considering this manuscript and look forward to your response.</w:t>
      </w:r>
    </w:p>
    <w:p>
      <w:pPr>
        <w:spacing w:after="480"/>
      </w:pPr>
      <w:r>
        <w:rPr>
          <w:rFonts w:ascii="Times New Roman" w:hAnsi="Times New Roman"/>
          <w:b w:val="0"/>
          <w:i w:val="0"/>
          <w:sz w:val="24"/>
        </w:rPr>
        <w:t>Yours sincerely,</w:t>
      </w:r>
    </w:p>
    <w:p>
      <w:pPr>
        <w:spacing w:after="0"/>
      </w:pPr>
      <w:r>
        <w:rPr>
          <w:rFonts w:ascii="Times New Roman" w:hAnsi="Times New Roman"/>
          <w:b w:val="0"/>
          <w:i w:val="0"/>
          <w:sz w:val="24"/>
        </w:rPr>
        <w:t>[Corresponding Author Name]</w:t>
      </w:r>
    </w:p>
    <w:p>
      <w:pPr>
        <w:spacing w:after="0"/>
      </w:pPr>
      <w:r>
        <w:rPr>
          <w:rFonts w:ascii="Times New Roman" w:hAnsi="Times New Roman"/>
          <w:b w:val="0"/>
          <w:i w:val="0"/>
          <w:sz w:val="24"/>
        </w:rPr>
        <w:t>[Title, Department]</w:t>
      </w:r>
    </w:p>
    <w:p>
      <w:pPr>
        <w:spacing w:after="0"/>
      </w:pPr>
      <w:r>
        <w:rPr>
          <w:rFonts w:ascii="Times New Roman" w:hAnsi="Times New Roman"/>
          <w:b w:val="0"/>
          <w:i w:val="0"/>
          <w:sz w:val="24"/>
        </w:rPr>
        <w:t>[Institution]</w:t>
      </w:r>
    </w:p>
    <w:p>
      <w:pPr>
        <w:spacing w:after="0"/>
      </w:pPr>
      <w:r>
        <w:rPr>
          <w:rFonts w:ascii="Times New Roman" w:hAnsi="Times New Roman"/>
          <w:b w:val="0"/>
          <w:i w:val="0"/>
          <w:sz w:val="24"/>
        </w:rPr>
        <w:t>[Address]</w:t>
      </w:r>
    </w:p>
    <w:p>
      <w:pPr>
        <w:spacing w:after="0"/>
      </w:pPr>
      <w:r>
        <w:rPr>
          <w:rFonts w:ascii="Times New Roman" w:hAnsi="Times New Roman"/>
          <w:b w:val="0"/>
          <w:i w:val="0"/>
          <w:sz w:val="24"/>
        </w:rPr>
        <w:t>[Email]</w:t>
      </w:r>
    </w:p>
    <w:p>
      <w:pPr>
        <w:spacing w:after="0"/>
      </w:pPr>
      <w:r>
        <w:rPr>
          <w:rFonts w:ascii="Times New Roman" w:hAnsi="Times New Roman"/>
          <w:b w:val="0"/>
          <w:i w:val="0"/>
          <w:sz w:val="24"/>
        </w:rPr>
        <w:t>[Telephone]</w:t>
      </w:r>
    </w:p>
    <w:p>
      <w:pPr>
        <w:spacing w:after="0"/>
      </w:pPr>
      <w:r>
        <w:rPr>
          <w:rFonts w:ascii="Times New Roman" w:hAnsi="Times New Roman"/>
          <w:b w:val="0"/>
          <w:i w:val="0"/>
          <w:sz w:val="24"/>
        </w:rPr>
        <w:t>[ORCID]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