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i w:val="0"/>
          <w:sz w:val="22"/>
        </w:rPr>
        <w:t>[Date]</w:t>
      </w:r>
    </w:p>
    <w:p/>
    <w:p>
      <w:pPr>
        <w:spacing w:after="120"/>
      </w:pPr>
      <w:r>
        <w:rPr>
          <w:rFonts w:ascii="Arial" w:hAnsi="Arial"/>
          <w:b w:val="0"/>
          <w:i w:val="0"/>
          <w:sz w:val="22"/>
        </w:rPr>
        <w:t>Professor Kaveh G Shojania, MD</w:t>
      </w:r>
    </w:p>
    <w:p>
      <w:pPr>
        <w:spacing w:after="120"/>
      </w:pPr>
      <w:r>
        <w:rPr>
          <w:rFonts w:ascii="Arial" w:hAnsi="Arial"/>
          <w:b w:val="0"/>
          <w:i w:val="0"/>
          <w:sz w:val="22"/>
        </w:rPr>
        <w:t>Editor-in-Chief</w:t>
      </w:r>
    </w:p>
    <w:p>
      <w:pPr>
        <w:spacing w:after="120"/>
      </w:pPr>
      <w:r>
        <w:rPr>
          <w:rFonts w:ascii="Arial" w:hAnsi="Arial"/>
          <w:b w:val="0"/>
          <w:i w:val="0"/>
          <w:sz w:val="22"/>
        </w:rPr>
        <w:t>BMJ Quality &amp; Safety</w:t>
      </w:r>
    </w:p>
    <w:p/>
    <w:p>
      <w:pPr>
        <w:spacing w:after="120"/>
      </w:pPr>
      <w:r>
        <w:rPr>
          <w:rFonts w:ascii="Arial" w:hAnsi="Arial"/>
          <w:b w:val="0"/>
          <w:i w:val="0"/>
          <w:sz w:val="22"/>
        </w:rPr>
        <w:t>Dear Professor Shojania,</w:t>
      </w:r>
    </w:p>
    <w:p/>
    <w:p>
      <w:pPr>
        <w:spacing w:after="120"/>
      </w:pPr>
      <w:r>
        <w:rPr>
          <w:rFonts w:ascii="Arial" w:hAnsi="Arial"/>
          <w:b/>
          <w:i w:val="0"/>
          <w:sz w:val="22"/>
        </w:rPr>
        <w:t>Re: Submission of manuscript entitled "Ice age for anaesthesia: a scoping review of cryoanalgesia as patient safety insurance against local anaesthetic shortages"</w:t>
      </w:r>
    </w:p>
    <w:p/>
    <w:p>
      <w:pPr>
        <w:spacing w:after="120"/>
      </w:pPr>
      <w:r>
        <w:rPr>
          <w:rFonts w:ascii="Arial" w:hAnsi="Arial"/>
          <w:b w:val="0"/>
          <w:i w:val="0"/>
          <w:sz w:val="22"/>
        </w:rPr>
        <w:t>We are pleased to submit the above manuscript for consideration as a Systematic Review (Scoping Review) in BMJ Quality &amp; Safety.</w:t>
      </w:r>
    </w:p>
    <w:p>
      <w:pPr>
        <w:spacing w:after="120"/>
      </w:pPr>
      <w:r>
        <w:rPr>
          <w:rFonts w:ascii="Arial" w:hAnsi="Arial"/>
          <w:b w:val="0"/>
          <w:i w:val="0"/>
          <w:sz w:val="22"/>
        </w:rPr>
        <w:t>Drug shortages are among the most persistent and consequential patient safety threats in modern healthcare. Local anaesthetic agents — essential for pain management across virtually every clinical specialty — are increasingly vulnerable to supply chain disruptions driven by manufacturing concentration, regulatory failures, and geopolitical instability. When these drugs become unavailable, procedures are cancelled, clinicians resort to unfamiliar alternatives, medication errors increase, and patients suffer preventable harm.</w:t>
      </w:r>
    </w:p>
    <w:p>
      <w:pPr>
        <w:spacing w:after="120"/>
      </w:pPr>
      <w:r>
        <w:rPr>
          <w:rFonts w:ascii="Arial" w:hAnsi="Arial"/>
          <w:b w:val="0"/>
          <w:i w:val="0"/>
          <w:sz w:val="22"/>
        </w:rPr>
        <w:t>Despite the severity of this threat, no systematic evaluation has examined drug-free alternatives that could maintain clinical capability during pharmaceutical supply failures. Our scoping review addresses this critical gap by mapping the evidence for cryoanalgesia — cold-induced analgesia — as a contingency strategy across five clinical domains.</w:t>
      </w:r>
    </w:p>
    <w:p>
      <w:pPr>
        <w:spacing w:after="120"/>
      </w:pPr>
      <w:r>
        <w:rPr>
          <w:rFonts w:ascii="Arial" w:hAnsi="Arial"/>
          <w:b/>
          <w:i w:val="0"/>
          <w:sz w:val="22"/>
        </w:rPr>
        <w:t>Key findings with direct relevance to patient safety:</w:t>
      </w:r>
    </w:p>
    <w:p>
      <w:pPr>
        <w:spacing w:after="120"/>
      </w:pPr>
      <w:r>
        <w:rPr>
          <w:rFonts w:ascii="Arial" w:hAnsi="Arial"/>
          <w:b w:val="0"/>
          <w:i w:val="0"/>
          <w:sz w:val="22"/>
        </w:rPr>
        <w:t>1. We identified 47 studies (28 RCTs) comparing cryoanalgesic modalities with local anaesthetic drugs across dental, vascular access, thoracic surgery, orthopaedic, and dermatological procedures.</w:t>
      </w:r>
    </w:p>
    <w:p>
      <w:pPr>
        <w:spacing w:after="120"/>
      </w:pPr>
      <w:r>
        <w:rPr>
          <w:rFonts w:ascii="Arial" w:hAnsi="Arial"/>
          <w:b w:val="0"/>
          <w:i w:val="0"/>
          <w:sz w:val="22"/>
        </w:rPr>
        <w:t>2. For superficial applications (dental procedures, venepuncture), strong evidence supports immediate implementation at zero or near-zero cost — these are "ready now" patient safety interventions requiring no additional equipment or training.</w:t>
      </w:r>
    </w:p>
    <w:p>
      <w:pPr>
        <w:spacing w:after="120"/>
      </w:pPr>
      <w:r>
        <w:rPr>
          <w:rFonts w:ascii="Arial" w:hAnsi="Arial"/>
          <w:b w:val="0"/>
          <w:i w:val="0"/>
          <w:sz w:val="22"/>
        </w:rPr>
        <w:t>3. We propose the first Clinical Preparedness Protocol — a tiered, evidence-based framework that maps cryoanalgesic alternatives to escalating shortage severity, enabling institutions to prepare before crises occur rather than improvising during them.</w:t>
      </w:r>
    </w:p>
    <w:p>
      <w:pPr>
        <w:spacing w:after="120"/>
      </w:pPr>
      <w:r>
        <w:rPr>
          <w:rFonts w:ascii="Arial" w:hAnsi="Arial"/>
          <w:b w:val="0"/>
          <w:i w:val="0"/>
          <w:sz w:val="22"/>
        </w:rPr>
        <w:t>4. Critical evidence gaps exist for deeper applications (cryoneurolysis vs regional nerve blocks), which we identify as the highest research priority for supply chain resilience.</w:t>
      </w:r>
    </w:p>
    <w:p>
      <w:pPr>
        <w:spacing w:after="120"/>
      </w:pPr>
      <w:r>
        <w:rPr>
          <w:rFonts w:ascii="Arial" w:hAnsi="Arial"/>
          <w:b/>
          <w:i w:val="0"/>
          <w:sz w:val="22"/>
        </w:rPr>
        <w:t>We believe this manuscript is particularly suited to BMJ Quality &amp; Safety because:</w:t>
      </w:r>
    </w:p>
    <w:p>
      <w:pPr>
        <w:spacing w:after="120"/>
      </w:pPr>
      <w:r>
        <w:rPr>
          <w:rFonts w:ascii="Arial" w:hAnsi="Arial"/>
          <w:b w:val="0"/>
          <w:i w:val="0"/>
          <w:sz w:val="22"/>
        </w:rPr>
        <w:t>• It frames a clinical technique through the lens of patient safety and institutional preparedness, rather than as a novel intervention per se.</w:t>
      </w:r>
    </w:p>
    <w:p>
      <w:pPr>
        <w:spacing w:after="120"/>
      </w:pPr>
      <w:r>
        <w:rPr>
          <w:rFonts w:ascii="Arial" w:hAnsi="Arial"/>
          <w:b w:val="0"/>
          <w:i w:val="0"/>
          <w:sz w:val="22"/>
        </w:rPr>
        <w:t>• The Clinical Preparedness Protocol provides an actionable systems-level framework that hospitals and health systems can implement proactively.</w:t>
      </w:r>
    </w:p>
    <w:p>
      <w:pPr>
        <w:spacing w:after="120"/>
      </w:pPr>
      <w:r>
        <w:rPr>
          <w:rFonts w:ascii="Arial" w:hAnsi="Arial"/>
          <w:b w:val="0"/>
          <w:i w:val="0"/>
          <w:sz w:val="22"/>
        </w:rPr>
        <w:t>• The work directly addresses pharmaceutical supply chain vulnerability — a recognised quality and safety concern that affects every healthcare system globally.</w:t>
      </w:r>
    </w:p>
    <w:p>
      <w:pPr>
        <w:spacing w:after="120"/>
      </w:pPr>
      <w:r>
        <w:rPr>
          <w:rFonts w:ascii="Arial" w:hAnsi="Arial"/>
          <w:b w:val="0"/>
          <w:i w:val="0"/>
          <w:sz w:val="22"/>
        </w:rPr>
        <w:t>• The findings have immediate policy implications for institutional resilience planning, formulary management, and clinical governance.</w:t>
      </w:r>
    </w:p>
    <w:p>
      <w:pPr>
        <w:spacing w:after="120"/>
      </w:pPr>
      <w:r>
        <w:rPr>
          <w:rFonts w:ascii="Arial" w:hAnsi="Arial"/>
          <w:b w:val="0"/>
          <w:i w:val="0"/>
          <w:sz w:val="22"/>
        </w:rPr>
        <w:t>The manuscript is approximately 3800 words (excluding abstract, references, tables, and figures), includes 3 tables and 2 figures (5 total), and cites 58 references. It adheres to PRISMA-ScR reporting guidelines. The completed PRISMA-ScR checklist is provided as a supplementary file. This manuscript is not under consideration elsewhere and all authors have approved the submission.</w:t>
      </w:r>
    </w:p>
    <w:p>
      <w:pPr>
        <w:spacing w:after="120"/>
      </w:pPr>
      <w:r>
        <w:rPr>
          <w:rFonts w:ascii="Arial" w:hAnsi="Arial"/>
          <w:b w:val="0"/>
          <w:i w:val="0"/>
          <w:sz w:val="22"/>
        </w:rPr>
        <w:t>This manuscript has been prepared for triple-anonymised peer review. No identifying information appears in the manuscript file.</w:t>
      </w:r>
    </w:p>
    <w:p/>
    <w:p>
      <w:pPr>
        <w:spacing w:after="120"/>
      </w:pPr>
      <w:r>
        <w:rPr>
          <w:rFonts w:ascii="Arial" w:hAnsi="Arial"/>
          <w:b w:val="0"/>
          <w:i w:val="0"/>
          <w:sz w:val="22"/>
        </w:rPr>
        <w:t>We look forward to the editorial decision.</w:t>
      </w:r>
    </w:p>
    <w:p/>
    <w:p>
      <w:pPr>
        <w:spacing w:after="120"/>
      </w:pPr>
      <w:r>
        <w:rPr>
          <w:rFonts w:ascii="Arial" w:hAnsi="Arial"/>
          <w:b w:val="0"/>
          <w:i w:val="0"/>
          <w:sz w:val="22"/>
        </w:rPr>
        <w:t>Yours sincerely,</w:t>
      </w:r>
    </w:p>
    <w:p>
      <w:pPr>
        <w:spacing w:after="120"/>
      </w:pPr>
      <w:r>
        <w:rPr>
          <w:rFonts w:ascii="Arial" w:hAnsi="Arial"/>
          <w:b w:val="0"/>
          <w:i w:val="0"/>
          <w:sz w:val="22"/>
        </w:rPr>
        <w:t>The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