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val="0"/>
          <w:i w:val="0"/>
          <w:sz w:val="22"/>
        </w:rPr>
        <w:t>[日付]</w:t>
      </w:r>
    </w:p>
    <w:p/>
    <w:p>
      <w:pPr>
        <w:spacing w:after="120"/>
      </w:pPr>
      <w:r>
        <w:rPr>
          <w:rFonts w:ascii="Arial" w:hAnsi="Arial"/>
          <w:b w:val="0"/>
          <w:i w:val="0"/>
          <w:sz w:val="22"/>
        </w:rPr>
        <w:t>Professor Kaveh G Shojania, MD</w:t>
      </w:r>
    </w:p>
    <w:p>
      <w:pPr>
        <w:spacing w:after="120"/>
      </w:pPr>
      <w:r>
        <w:rPr>
          <w:rFonts w:ascii="Arial" w:hAnsi="Arial"/>
          <w:b w:val="0"/>
          <w:i w:val="0"/>
          <w:sz w:val="22"/>
        </w:rPr>
        <w:t>Editor-in-Chief</w:t>
      </w:r>
    </w:p>
    <w:p>
      <w:pPr>
        <w:spacing w:after="120"/>
      </w:pPr>
      <w:r>
        <w:rPr>
          <w:rFonts w:ascii="Arial" w:hAnsi="Arial"/>
          <w:b w:val="0"/>
          <w:i w:val="0"/>
          <w:sz w:val="22"/>
        </w:rPr>
        <w:t>BMJ Quality &amp; Safety</w:t>
      </w:r>
    </w:p>
    <w:p/>
    <w:p>
      <w:pPr>
        <w:spacing w:after="120"/>
      </w:pPr>
      <w:r>
        <w:rPr>
          <w:rFonts w:ascii="Arial" w:hAnsi="Arial"/>
          <w:b w:val="0"/>
          <w:i w:val="0"/>
          <w:sz w:val="22"/>
        </w:rPr>
        <w:t>Shojania教授</w:t>
      </w:r>
    </w:p>
    <w:p/>
    <w:p>
      <w:pPr>
        <w:spacing w:after="120"/>
      </w:pPr>
      <w:r>
        <w:rPr>
          <w:rFonts w:ascii="Arial" w:hAnsi="Arial"/>
          <w:b/>
          <w:i w:val="0"/>
          <w:sz w:val="22"/>
        </w:rPr>
        <w:t>件名：論文投稿「患者安全戦略としての薬剤不要局所麻酔：医薬品サプライチェーン途絶時におけるクライオアナルジェシアのエビデンスマッピング」</w:t>
      </w:r>
    </w:p>
    <w:p/>
    <w:p>
      <w:pPr>
        <w:spacing w:after="120"/>
      </w:pPr>
      <w:r>
        <w:rPr>
          <w:rFonts w:ascii="Arial" w:hAnsi="Arial"/>
          <w:b w:val="0"/>
          <w:i w:val="0"/>
          <w:sz w:val="22"/>
        </w:rPr>
        <w:t>上記論文をBMJ Quality &amp; SafetyのSystematic Review（Scoping Review）として投稿いたしたく、お願い申し上げます。</w:t>
      </w:r>
    </w:p>
    <w:p>
      <w:pPr>
        <w:spacing w:after="120"/>
      </w:pPr>
      <w:r>
        <w:rPr>
          <w:rFonts w:ascii="Arial" w:hAnsi="Arial"/>
          <w:b w:val="0"/>
          <w:i w:val="0"/>
          <w:sz w:val="22"/>
        </w:rPr>
        <w:t>薬剤不足は、現代医療における最も持続的かつ重大な患者安全上の脅威の一つです。局所麻酔薬は、疼痛管理のためにほぼすべての臨床専門分野で不可欠な薬剤ですが、製造の集中化、規制上の不備、地政学的不安定性によるサプライチェーン途絶に対してますます脆弱になっています。これらの薬剤が入手不能となった場合、処置の中止、不慣れな代替薬への切り替え、薬剤関連過誤の増加、予防可能な患者への害が生じます。</w:t>
      </w:r>
    </w:p>
    <w:p>
      <w:pPr>
        <w:spacing w:after="120"/>
      </w:pPr>
      <w:r>
        <w:rPr>
          <w:rFonts w:ascii="Arial" w:hAnsi="Arial"/>
          <w:b w:val="0"/>
          <w:i w:val="0"/>
          <w:sz w:val="22"/>
        </w:rPr>
        <w:t>この脅威の深刻さにもかかわらず、医薬品供給途絶時の臨床能力を維持しうる薬剤不要の代替手段に関する系統的評価は存在しませんでした。本スコーピングレビューは、5つの臨床領域にわたるクライオアナルジェシア（冷却鎮痛）のエビデンスを代替戦略としてマッピングすることで、この重大なギャップに対処するものです。</w:t>
      </w:r>
    </w:p>
    <w:p>
      <w:pPr>
        <w:spacing w:after="120"/>
      </w:pPr>
      <w:r>
        <w:rPr>
          <w:rFonts w:ascii="Arial" w:hAnsi="Arial"/>
          <w:b/>
          <w:i w:val="0"/>
          <w:sz w:val="22"/>
        </w:rPr>
        <w:t>患者安全に直接関連する主な知見：</w:t>
      </w:r>
    </w:p>
    <w:p>
      <w:pPr>
        <w:spacing w:after="120"/>
      </w:pPr>
      <w:r>
        <w:rPr>
          <w:rFonts w:ascii="Arial" w:hAnsi="Arial"/>
          <w:b w:val="0"/>
          <w:i w:val="0"/>
          <w:sz w:val="22"/>
        </w:rPr>
        <w:t>1. 歯科、血管穿刺、胸部外科、整形外科、皮膚科の5つの臨床領域にわたり、クライオアナルジェシア法と局所麻酔薬を比較した47研究（RCT 28件）を特定しました。</w:t>
      </w:r>
    </w:p>
    <w:p>
      <w:pPr>
        <w:spacing w:after="120"/>
      </w:pPr>
      <w:r>
        <w:rPr>
          <w:rFonts w:ascii="Arial" w:hAnsi="Arial"/>
          <w:b w:val="0"/>
          <w:i w:val="0"/>
          <w:sz w:val="22"/>
        </w:rPr>
        <w:t>2. 表在的応用（歯科処置、静脈穿刺）については、コストゼロまたはほぼゼロで即時実施可能な強いエビデンスがあり、追加の機器や訓練を必要としない「今すぐ使える」患者安全介入です。</w:t>
      </w:r>
    </w:p>
    <w:p>
      <w:pPr>
        <w:spacing w:after="120"/>
      </w:pPr>
      <w:r>
        <w:rPr>
          <w:rFonts w:ascii="Arial" w:hAnsi="Arial"/>
          <w:b w:val="0"/>
          <w:i w:val="0"/>
          <w:sz w:val="22"/>
        </w:rPr>
        <w:t>3. 初の臨床準備プロトコルを提案します — 深刻度が増大する不足時にクライオアナルジェシアの代替手段をマッピングした段階的・エビデンスに基づくフレームワークであり、危機時に臨機応変に対応するのではなく、危機発生前に施設が準備することを可能にします。</w:t>
      </w:r>
    </w:p>
    <w:p>
      <w:pPr>
        <w:spacing w:after="120"/>
      </w:pPr>
      <w:r>
        <w:rPr>
          <w:rFonts w:ascii="Arial" w:hAnsi="Arial"/>
          <w:b w:val="0"/>
          <w:i w:val="0"/>
          <w:sz w:val="22"/>
        </w:rPr>
        <w:t>4. 深部応用（クライオニューロリシス vs 区域神経ブロック）には重大なエビデンスギャップが存在し、サプライチェーンレジリエンスのための最優先研究課題として特定しました。</w:t>
      </w:r>
    </w:p>
    <w:p>
      <w:pPr>
        <w:spacing w:after="120"/>
      </w:pPr>
      <w:r>
        <w:rPr>
          <w:rFonts w:ascii="Arial" w:hAnsi="Arial"/>
          <w:b/>
          <w:i w:val="0"/>
          <w:sz w:val="22"/>
        </w:rPr>
        <w:t>本論文がBMJ Quality &amp; Safetyに特に適していると考える理由：</w:t>
      </w:r>
    </w:p>
    <w:p>
      <w:pPr>
        <w:spacing w:after="120"/>
      </w:pPr>
      <w:r>
        <w:rPr>
          <w:rFonts w:ascii="Arial" w:hAnsi="Arial"/>
          <w:b w:val="0"/>
          <w:i w:val="0"/>
          <w:sz w:val="22"/>
        </w:rPr>
        <w:t>• 臨床技術を、新規介入としてではなく、患者安全と施設の準備態勢のレンズを通してフレーミングしています。</w:t>
      </w:r>
    </w:p>
    <w:p>
      <w:pPr>
        <w:spacing w:after="120"/>
      </w:pPr>
      <w:r>
        <w:rPr>
          <w:rFonts w:ascii="Arial" w:hAnsi="Arial"/>
          <w:b w:val="0"/>
          <w:i w:val="0"/>
          <w:sz w:val="22"/>
        </w:rPr>
        <w:t>• 臨床準備プロトコルは、病院・医療システムが予防的に実施できる実行可能なシステムレベルのフレームワークを提供します。</w:t>
      </w:r>
    </w:p>
    <w:p>
      <w:pPr>
        <w:spacing w:after="120"/>
      </w:pPr>
      <w:r>
        <w:rPr>
          <w:rFonts w:ascii="Arial" w:hAnsi="Arial"/>
          <w:b w:val="0"/>
          <w:i w:val="0"/>
          <w:sz w:val="22"/>
        </w:rPr>
        <w:t>• 医薬品サプライチェーンの脆弱性 — すべての医療システムに影響する認知された質・安全上の懸念 — に直接対処します。</w:t>
      </w:r>
    </w:p>
    <w:p>
      <w:pPr>
        <w:spacing w:after="120"/>
      </w:pPr>
      <w:r>
        <w:rPr>
          <w:rFonts w:ascii="Arial" w:hAnsi="Arial"/>
          <w:b w:val="0"/>
          <w:i w:val="0"/>
          <w:sz w:val="22"/>
        </w:rPr>
        <w:t>• 施設のレジリエンス計画、処方集管理、臨床ガバナンスに対する即時の政策的示唆を有します。</w:t>
      </w:r>
    </w:p>
    <w:p>
      <w:pPr>
        <w:spacing w:after="120"/>
      </w:pPr>
      <w:r>
        <w:rPr>
          <w:rFonts w:ascii="Arial" w:hAnsi="Arial"/>
          <w:b w:val="0"/>
          <w:i w:val="0"/>
          <w:sz w:val="22"/>
        </w:rPr>
        <w:t>本論文は約3800語（抄録、参考文献、表、図を除く）、表4点・図1点（計5点、補足図1点）、参考文献58件で構成されています。PRISMA-ScR報告ガイドラインに準拠し、チェックリストを補足ファイルとして提供しています。本論文は他誌で審査中ではなく、すべての著者が投稿を承認しています。</w:t>
      </w:r>
    </w:p>
    <w:p>
      <w:pPr>
        <w:spacing w:after="120"/>
      </w:pPr>
      <w:r>
        <w:rPr>
          <w:rFonts w:ascii="Arial" w:hAnsi="Arial"/>
          <w:b w:val="0"/>
          <w:i w:val="0"/>
          <w:sz w:val="22"/>
        </w:rPr>
        <w:t>本論文は三重匿名査読用に準備されており、原稿ファイルに識別情報は含まれていません。</w:t>
      </w:r>
    </w:p>
    <w:p/>
    <w:p>
      <w:pPr>
        <w:spacing w:after="120"/>
      </w:pPr>
      <w:r>
        <w:rPr>
          <w:rFonts w:ascii="Arial" w:hAnsi="Arial"/>
          <w:b w:val="0"/>
          <w:i w:val="0"/>
          <w:sz w:val="22"/>
        </w:rPr>
        <w:t>編集部のご判断をお待ちしております。</w:t>
      </w:r>
    </w:p>
    <w:p/>
    <w:p>
      <w:pPr>
        <w:spacing w:after="120"/>
      </w:pPr>
      <w:r>
        <w:rPr>
          <w:rFonts w:ascii="Arial" w:hAnsi="Arial"/>
          <w:b w:val="0"/>
          <w:i w:val="0"/>
          <w:sz w:val="22"/>
        </w:rPr>
        <w:t>敬具</w:t>
      </w:r>
    </w:p>
    <w:p>
      <w:pPr>
        <w:spacing w:after="120"/>
      </w:pPr>
      <w:r>
        <w:rPr>
          <w:rFonts w:ascii="Arial" w:hAnsi="Arial"/>
          <w:b w:val="0"/>
          <w:i w:val="0"/>
          <w:sz w:val="22"/>
        </w:rPr>
        <w:t>著者一同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