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r>
        <w:rPr>
          <w:rFonts w:ascii="Times New Roman" w:hAnsi="Times New Roman"/>
          <w:b w:val="0"/>
          <w:i w:val="0"/>
          <w:sz w:val="24"/>
        </w:rPr>
        <w:t>[Date]</w:t>
      </w:r>
    </w:p>
    <w:p/>
    <w:p>
      <w:pPr>
        <w:spacing w:after="120"/>
      </w:pPr>
      <w:r>
        <w:rPr>
          <w:rFonts w:ascii="Times New Roman" w:hAnsi="Times New Roman"/>
          <w:b w:val="0"/>
          <w:i w:val="0"/>
          <w:sz w:val="24"/>
        </w:rPr>
        <w:t>Brian D. Sites, MD</w:t>
      </w:r>
    </w:p>
    <w:p>
      <w:pPr>
        <w:spacing w:after="120"/>
      </w:pPr>
      <w:r>
        <w:rPr>
          <w:rFonts w:ascii="Times New Roman" w:hAnsi="Times New Roman"/>
          <w:b w:val="0"/>
          <w:i w:val="0"/>
          <w:sz w:val="24"/>
        </w:rPr>
        <w:t>Editor-in-Chief</w:t>
      </w:r>
    </w:p>
    <w:p>
      <w:pPr>
        <w:spacing w:after="120"/>
      </w:pPr>
      <w:r>
        <w:rPr>
          <w:rFonts w:ascii="Times New Roman" w:hAnsi="Times New Roman"/>
          <w:b w:val="0"/>
          <w:i w:val="0"/>
          <w:sz w:val="24"/>
        </w:rPr>
        <w:t>Regional Anesthesia &amp; Pain Medicine</w:t>
      </w:r>
    </w:p>
    <w:p/>
    <w:p>
      <w:pPr>
        <w:spacing w:after="120"/>
      </w:pPr>
      <w:r>
        <w:rPr>
          <w:rFonts w:ascii="Times New Roman" w:hAnsi="Times New Roman"/>
          <w:b w:val="0"/>
          <w:i w:val="0"/>
          <w:sz w:val="24"/>
        </w:rPr>
        <w:t>Dear Dr Sites,</w:t>
      </w:r>
    </w:p>
    <w:p/>
    <w:p>
      <w:pPr>
        <w:spacing w:after="120"/>
      </w:pPr>
      <w:r>
        <w:rPr>
          <w:rFonts w:ascii="Times New Roman" w:hAnsi="Times New Roman"/>
          <w:b w:val="0"/>
          <w:i w:val="0"/>
          <w:sz w:val="24"/>
        </w:rPr>
        <w:t>We are pleased to submit the enclosed manuscript entitled "Are we prepared for local anaesthetic shortages? Cryoanalgesia as a drug-free contingency for regional and local anaesthesia: a scoping review" for consideration for publication in Regional Anesthesia &amp; Pain Medicine as a Review article.</w:t>
      </w:r>
    </w:p>
    <w:p/>
    <w:p>
      <w:pPr>
        <w:spacing w:after="120"/>
      </w:pPr>
      <w:r>
        <w:rPr>
          <w:rFonts w:ascii="Times New Roman" w:hAnsi="Times New Roman"/>
          <w:b w:val="0"/>
          <w:i w:val="0"/>
          <w:sz w:val="24"/>
        </w:rPr>
        <w:t>Local anaesthetic drug shortages are escalating worldwide. As of June 2025, bupivacaine injection remains on the ASHP drug shortage list, the FDA lists 194 drugs in active shortage including injectable anaesthetics, and the IPSIS has issued a shortage advisory highlighting the impact on interventional pain procedures. For the regional anaesthesia community, these shortages pose an acute clinical challenge: when the drugs that enable peripheral nerve blocks, neuraxial techniques, and local infiltration become unavailable, the consequences cascade through multimodal analgesia programmes and enhanced recovery pathways.</w:t>
      </w:r>
    </w:p>
    <w:p/>
    <w:p>
      <w:pPr>
        <w:spacing w:after="120"/>
      </w:pPr>
      <w:r>
        <w:rPr>
          <w:rFonts w:ascii="Times New Roman" w:hAnsi="Times New Roman"/>
          <w:b w:val="0"/>
          <w:i w:val="0"/>
          <w:sz w:val="24"/>
        </w:rPr>
        <w:t>This scoping review maps the evidence for cryoanalgesia — the only evidence-based, drug-free modality capable of achieving regional and local anaesthesia — as a contingency during local anaesthetic shortages. From 1247 records, we identified 47 studies (28 RCTs) comparing cryoanalgesic modalities with local anaesthetic drugs across five clinical domains. Our key finding for the RAPM readership is a striking evidence gap: while cryoneurolysis has demonstrated efficacy in thoracic surgery (24 RCTs in meta-analysis) and is emerging in orthopaedic surgery, direct comparisons between cryoneurolysis and local anaesthetic-based peripheral nerve blocks are almost entirely absent. We identified only two studies (Finneran et al. 2025 in Anesthesiology; the ICE trial protocol in BMJ Open 2024) that directly compare these modalities.</w:t>
      </w:r>
    </w:p>
    <w:p/>
    <w:p>
      <w:pPr>
        <w:spacing w:after="120"/>
      </w:pPr>
      <w:r>
        <w:rPr>
          <w:rFonts w:ascii="Times New Roman" w:hAnsi="Times New Roman"/>
          <w:b w:val="0"/>
          <w:i w:val="0"/>
          <w:sz w:val="24"/>
        </w:rPr>
        <w:t>We believe this manuscript is particularly relevant to RAPM for three reasons:</w:t>
      </w:r>
    </w:p>
    <w:p>
      <w:pPr>
        <w:spacing w:after="120"/>
      </w:pPr>
      <w:r>
        <w:rPr>
          <w:rFonts w:ascii="Times New Roman" w:hAnsi="Times New Roman"/>
          <w:b w:val="0"/>
          <w:i w:val="0"/>
          <w:sz w:val="24"/>
        </w:rPr>
        <w:t>1. It identifies a critical research gap at the intersection of cryoneurolysis and regional anaesthesia — the near-absence of cryoneurolysis versus nerve block comparisons — and proposes specific research priorities for the RAPM community.</w:t>
      </w:r>
    </w:p>
    <w:p>
      <w:pPr>
        <w:spacing w:after="120"/>
      </w:pPr>
      <w:r>
        <w:rPr>
          <w:rFonts w:ascii="Times New Roman" w:hAnsi="Times New Roman"/>
          <w:b w:val="0"/>
          <w:i w:val="0"/>
          <w:sz w:val="24"/>
        </w:rPr>
        <w:t>2. It provides the first Clinical Preparedness Protocol for deploying cryoanalgesia during local anaesthetic shortages, with actionable guidance stratified by shortage severity, including clinical scenarios directly relevant to regional anaesthesia practitioners.</w:t>
      </w:r>
    </w:p>
    <w:p>
      <w:pPr>
        <w:spacing w:after="120"/>
      </w:pPr>
      <w:r>
        <w:rPr>
          <w:rFonts w:ascii="Times New Roman" w:hAnsi="Times New Roman"/>
          <w:b w:val="0"/>
          <w:i w:val="0"/>
          <w:sz w:val="24"/>
        </w:rPr>
        <w:t>3. The supply chain resilience framing is novel and timely. No previous review has systematically examined cryoanalgesia as a contingency for drug shortages, despite the growing frequency and severity of these events.</w:t>
      </w:r>
    </w:p>
    <w:p/>
    <w:p>
      <w:pPr>
        <w:spacing w:after="120"/>
      </w:pPr>
      <w:r>
        <w:rPr>
          <w:rFonts w:ascii="Times New Roman" w:hAnsi="Times New Roman"/>
          <w:b w:val="0"/>
          <w:i w:val="0"/>
          <w:sz w:val="24"/>
        </w:rPr>
        <w:t>The manuscript comprises approximately 3900 words (excluding abstract, references, tables, and figures), 58 references, and 6 tables/figures, conforming to RAPM requirements. This manuscript is not under consideration at any other journal, and all authors have approved the final version.</w:t>
      </w:r>
    </w:p>
    <w:p/>
    <w:p>
      <w:pPr>
        <w:spacing w:after="120"/>
      </w:pPr>
      <w:r>
        <w:rPr>
          <w:rFonts w:ascii="Times New Roman" w:hAnsi="Times New Roman"/>
          <w:b w:val="0"/>
          <w:i w:val="0"/>
          <w:sz w:val="24"/>
        </w:rPr>
        <w:t>We suggest the following reviewers with relevant expertise:</w:t>
      </w:r>
    </w:p>
    <w:p>
      <w:pPr>
        <w:spacing w:after="120"/>
      </w:pPr>
      <w:r>
        <w:rPr>
          <w:rFonts w:ascii="Times New Roman" w:hAnsi="Times New Roman"/>
          <w:b w:val="0"/>
          <w:i w:val="0"/>
          <w:sz w:val="24"/>
        </w:rPr>
        <w:t>1. Brian M. Ilfeld, MD, MS — University of California San Diego (cryoneurolysis, regional anaesthesia)</w:t>
      </w:r>
    </w:p>
    <w:p>
      <w:pPr>
        <w:spacing w:after="120"/>
      </w:pPr>
      <w:r>
        <w:rPr>
          <w:rFonts w:ascii="Times New Roman" w:hAnsi="Times New Roman"/>
          <w:b w:val="0"/>
          <w:i w:val="0"/>
          <w:sz w:val="24"/>
        </w:rPr>
        <w:t>2. Andrea M. Trescot, MD — Pain and Headache Center, Anchorage (cryoneurolysis, interventional pain)</w:t>
      </w:r>
    </w:p>
    <w:p>
      <w:pPr>
        <w:spacing w:after="120"/>
      </w:pPr>
      <w:r>
        <w:rPr>
          <w:rFonts w:ascii="Times New Roman" w:hAnsi="Times New Roman"/>
          <w:b w:val="0"/>
          <w:i w:val="0"/>
          <w:sz w:val="24"/>
        </w:rPr>
        <w:t>3. John J. Finneran IV, MD — University of California San Diego (cryoneurolysis for rib fractures, regional anaesthesia)</w:t>
      </w:r>
    </w:p>
    <w:p/>
    <w:p>
      <w:pPr>
        <w:spacing w:after="120"/>
      </w:pPr>
      <w:r>
        <w:rPr>
          <w:rFonts w:ascii="Times New Roman" w:hAnsi="Times New Roman"/>
          <w:b w:val="0"/>
          <w:i w:val="0"/>
          <w:sz w:val="24"/>
        </w:rPr>
        <w:t>We declare the use of AI-assisted tools in the preparation of this manuscript, as detailed in the Declaration of Generative AI section, in accordance with BMJ policy.</w:t>
      </w:r>
    </w:p>
    <w:p/>
    <w:p>
      <w:pPr>
        <w:spacing w:after="120"/>
      </w:pPr>
      <w:r>
        <w:rPr>
          <w:rFonts w:ascii="Times New Roman" w:hAnsi="Times New Roman"/>
          <w:b w:val="0"/>
          <w:i w:val="0"/>
          <w:sz w:val="24"/>
        </w:rPr>
        <w:t>Thank you for your consideration. We look forward to your response.</w:t>
      </w:r>
    </w:p>
    <w:p/>
    <w:p/>
    <w:p>
      <w:pPr>
        <w:spacing w:after="120"/>
      </w:pPr>
      <w:r>
        <w:rPr>
          <w:rFonts w:ascii="Times New Roman" w:hAnsi="Times New Roman"/>
          <w:b w:val="0"/>
          <w:i w:val="0"/>
          <w:sz w:val="24"/>
        </w:rPr>
        <w:t>Sincerely,</w:t>
      </w:r>
    </w:p>
    <w:p/>
    <w:p>
      <w:pPr>
        <w:spacing w:after="120"/>
      </w:pPr>
      <w:r>
        <w:rPr>
          <w:rFonts w:ascii="Times New Roman" w:hAnsi="Times New Roman"/>
          <w:b w:val="0"/>
          <w:i w:val="0"/>
          <w:sz w:val="24"/>
        </w:rPr>
        <w:t>[Corresponding Author Name]</w:t>
      </w:r>
    </w:p>
    <w:p>
      <w:pPr>
        <w:spacing w:after="120"/>
      </w:pPr>
      <w:r>
        <w:rPr>
          <w:rFonts w:ascii="Times New Roman" w:hAnsi="Times New Roman"/>
          <w:b w:val="0"/>
          <w:i w:val="0"/>
          <w:sz w:val="24"/>
        </w:rPr>
        <w:t>[Affiliation]</w:t>
      </w:r>
    </w:p>
    <w:p>
      <w:pPr>
        <w:spacing w:after="120"/>
      </w:pPr>
      <w:r>
        <w:rPr>
          <w:rFonts w:ascii="Times New Roman" w:hAnsi="Times New Roman"/>
          <w:b w:val="0"/>
          <w:i w:val="0"/>
          <w:sz w:val="24"/>
        </w:rPr>
        <w:t>[Email]</w:t>
      </w:r>
    </w:p>
    <w:p>
      <w:pPr>
        <w:spacing w:after="120"/>
      </w:pPr>
      <w:r>
        <w:rPr>
          <w:rFonts w:ascii="Times New Roman" w:hAnsi="Times New Roman"/>
          <w:b w:val="0"/>
          <w:i w:val="0"/>
          <w:sz w:val="24"/>
        </w:rPr>
        <w:t>[ORCID]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