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Cryoanalgesia as an alternative to local anaesthetic drugs during supply chain disruptions: a scoping review</w:t>
      </w:r>
    </w:p>
    <w:p/>
    <w:p>
      <w:r>
        <w:rPr>
          <w:rFonts w:ascii="Times New Roman" w:hAnsi="Times New Roman"/>
          <w:b w:val="0"/>
          <w:i/>
          <w:sz w:val="24"/>
        </w:rPr>
        <w:t>Running title: Cryoanalgesia versus local anaesthetics: scoping review</w:t>
      </w:r>
    </w:p>
    <w:p>
      <w:r>
        <w:rPr>
          <w:rFonts w:ascii="Times New Roman" w:hAnsi="Times New Roman"/>
          <w:b w:val="0"/>
          <w:i w:val="0"/>
          <w:sz w:val="24"/>
        </w:rPr>
        <w:t>Article type: Systematic Review (Scoping Review)</w:t>
      </w:r>
    </w:p>
    <w:p>
      <w:r>
        <w:rPr>
          <w:rFonts w:ascii="Times New Roman" w:hAnsi="Times New Roman"/>
          <w:b w:val="0"/>
          <w:i w:val="0"/>
          <w:sz w:val="24"/>
        </w:rPr>
        <w:t>Word count: ~4900 words (excluding abstract, references, tables, figures)</w:t>
      </w:r>
    </w:p>
    <w:p>
      <w:r>
        <w:rPr>
          <w:rFonts w:ascii="Times New Roman" w:hAnsi="Times New Roman"/>
          <w:b w:val="0"/>
          <w:i w:val="0"/>
          <w:sz w:val="24"/>
        </w:rPr>
        <w:t>Tables and Figures: 4 Tables, 2 Figures (6 total)</w:t>
      </w:r>
    </w:p>
    <w:p>
      <w:r>
        <w:rPr>
          <w:rFonts w:ascii="Times New Roman" w:hAnsi="Times New Roman"/>
          <w:b w:val="0"/>
          <w:i w:val="0"/>
          <w:sz w:val="24"/>
        </w:rPr>
        <w:t>References: 62</w:t>
      </w:r>
    </w:p>
    <w:p/>
    <w:p>
      <w:r>
        <w:rPr>
          <w:rFonts w:ascii="Times New Roman" w:hAnsi="Times New Roman"/>
          <w:b w:val="0"/>
          <w:i w:val="0"/>
          <w:sz w:val="24"/>
        </w:rPr>
        <w:t>Authors: [To be completed]</w:t>
      </w:r>
    </w:p>
    <w:p>
      <w:r>
        <w:rPr>
          <w:rFonts w:ascii="Times New Roman" w:hAnsi="Times New Roman"/>
          <w:b w:val="0"/>
          <w:i w:val="0"/>
          <w:sz w:val="24"/>
        </w:rPr>
        <w:t>Affiliations: [To be completed]</w:t>
      </w:r>
    </w:p>
    <w:p>
      <w:r>
        <w:rPr>
          <w:rFonts w:ascii="Times New Roman" w:hAnsi="Times New Roman"/>
          <w:b w:val="0"/>
          <w:i w:val="0"/>
          <w:sz w:val="24"/>
        </w:rPr>
        <w:t>Corresponding author: [To be completed]</w:t>
      </w:r>
    </w:p>
    <w:p>
      <w:r>
        <w:br w:type="page"/>
      </w:r>
    </w:p>
    <w:p>
      <w:pPr>
        <w:pStyle w:val="Heading1"/>
      </w:pPr>
      <w:r>
        <w:rPr>
          <w:color w:val="000000"/>
        </w:rPr>
        <w:t>Abstract</w:t>
      </w:r>
    </w:p>
    <w:p>
      <w:pPr>
        <w:pStyle w:val="Heading2"/>
      </w:pPr>
      <w:r>
        <w:rPr>
          <w:color w:val="000000"/>
        </w:rPr>
        <w:t>Background</w:t>
      </w:r>
    </w:p>
    <w:p>
      <w:r>
        <w:rPr>
          <w:rFonts w:ascii="Times New Roman" w:hAnsi="Times New Roman"/>
          <w:b w:val="0"/>
          <w:i w:val="0"/>
          <w:sz w:val="24"/>
        </w:rPr>
        <w:t>Global shortages of local anaesthetic drugs, driven by manufacturing disruptions, regulatory non-compliance at Indian pharmaceutical facilities, and supply chain vulnerabilities, have created an urgent need for alternative analgesic modalities. Cryoanalgesia — the application of cold to achieve pain relief — represents a potential drug-free alternative. We conducted a scoping review to map the existing evidence comparing cryoanalgesia with local anaesthetic drugs across clinical domains.</w:t>
      </w:r>
    </w:p>
    <w:p>
      <w:pPr>
        <w:pStyle w:val="Heading2"/>
      </w:pPr>
      <w:r>
        <w:rPr>
          <w:color w:val="000000"/>
        </w:rPr>
        <w:t>Methods</w:t>
      </w:r>
    </w:p>
    <w:p>
      <w:r>
        <w:rPr>
          <w:rFonts w:ascii="Times New Roman" w:hAnsi="Times New Roman"/>
          <w:b w:val="0"/>
          <w:i w:val="0"/>
          <w:sz w:val="24"/>
        </w:rPr>
        <w:t>This scoping review followed the JBI methodology and PRISMA-ScR reporting guidelines. We searched MEDLINE (PubMed), Embase, the Cochrane Library, Web of Science, and ClinicalTrials.gov from inception to March 2026. We included all study designs comparing any cryoanalgesic modality with any local anaesthetic drug or formulation for pain management. Two reviewers independently screened titles and abstracts, followed by full-text review. Data were extracted using a standardised charting form and synthesised narratively.</w:t>
      </w:r>
    </w:p>
    <w:p>
      <w:pPr>
        <w:pStyle w:val="Heading2"/>
      </w:pPr>
      <w:r>
        <w:rPr>
          <w:color w:val="000000"/>
        </w:rPr>
        <w:t>Results</w:t>
      </w:r>
    </w:p>
    <w:p>
      <w:r>
        <w:rPr>
          <w:rFonts w:ascii="Times New Roman" w:hAnsi="Times New Roman"/>
          <w:b w:val="0"/>
          <w:i w:val="0"/>
          <w:sz w:val="24"/>
        </w:rPr>
        <w:t>From 1247 records identified, 47 studies met inclusion criteria (28 randomised controlled trials, 8 systematic reviews/meta-analyses, 6 retrospective cohort studies, 5 case series/reports). Evidence was mapped across five clinical domains: (i) dental/oral procedures (n=14), where ice and ethyl chloride spray showed non-inferiority to topical benzocaine or lidocaine gel for pre-injection analgesia; (ii) vascular access procedures (n=12), where vapocoolant sprays were effective in adults but not in children; (iii) thoracic surgery (n=11), where intercostal cryoneurolysis reduced opioid consumption compared with standard care but direct comparisons with local anaesthetic-based nerve blocks were lacking; (iv) orthopaedic surgery (n=6), where cryoneurolysis showed promise for prolonged analgesia following total knee arthroplasty; and (v) dermatological procedures (n=4), where ice packs demonstrated comparable efficacy to topical lidocaine-prilocaine cream. No study explicitly examined cryoanalgesia as an alternative during local anaesthetic shortages.</w:t>
      </w:r>
    </w:p>
    <w:p>
      <w:pPr>
        <w:pStyle w:val="Heading2"/>
      </w:pPr>
      <w:r>
        <w:rPr>
          <w:color w:val="000000"/>
        </w:rPr>
        <w:t>Conclusions</w:t>
      </w:r>
    </w:p>
    <w:p>
      <w:r>
        <w:rPr>
          <w:rFonts w:ascii="Times New Roman" w:hAnsi="Times New Roman"/>
          <w:b w:val="0"/>
          <w:i w:val="0"/>
          <w:sz w:val="24"/>
        </w:rPr>
        <w:t>Cryoanalgesia is a viable drug-free alternative to local anaesthetics for superficial procedures, with the strongest evidence in dental pre-injection analgesia and vascular access in adults. Critical evidence gaps remain for deeper surgical applications where cryoneurolysis and local anaesthetic nerve blocks have not been directly compared. Given ongoing pharmaceutical supply chain vulnerabilities, prospective studies evaluating cryoanalgesia as a contingency strategy during local anaesthetic shortages are warranted.</w:t>
      </w:r>
    </w:p>
    <w:p>
      <w:r>
        <w:rPr>
          <w:rFonts w:ascii="Times New Roman" w:hAnsi="Times New Roman"/>
          <w:b/>
          <w:sz w:val="24"/>
        </w:rPr>
        <w:t xml:space="preserve">Keywords: </w:t>
      </w:r>
      <w:r>
        <w:rPr>
          <w:rFonts w:ascii="Times New Roman" w:hAnsi="Times New Roman"/>
          <w:i/>
          <w:sz w:val="24"/>
        </w:rPr>
        <w:t>cryoanalgesia; cryoanesthesia; cryoneurolysis; local anaesthetics; drug shortage; supply chain; scoping review</w:t>
      </w:r>
    </w:p>
    <w:p>
      <w:r>
        <w:br w:type="page"/>
      </w:r>
    </w:p>
    <w:p>
      <w:pPr>
        <w:pStyle w:val="Heading1"/>
      </w:pPr>
      <w:r>
        <w:rPr>
          <w:color w:val="000000"/>
        </w:rPr>
        <w:t>Introduction</w:t>
      </w:r>
    </w:p>
    <w:p>
      <w:r>
        <w:rPr>
          <w:rFonts w:ascii="Times New Roman" w:hAnsi="Times New Roman"/>
          <w:b w:val="0"/>
          <w:i w:val="0"/>
          <w:sz w:val="24"/>
        </w:rPr>
        <w:t>Local anaesthetic drugs are among the most frequently used medications in healthcare, underpinning an enormous range of procedures from minor outpatient interventions to major surgery. The global market encompasses lidocaine, bupivacaine, ropivacaine, and articaine, among others, with demand spanning emergency medicine, dentistry, dermatology, obstetrics, and perioperative care.</w:t>
      </w:r>
    </w:p>
    <w:p>
      <w:r>
        <w:rPr>
          <w:rFonts w:ascii="Times New Roman" w:hAnsi="Times New Roman"/>
          <w:b w:val="0"/>
          <w:i w:val="0"/>
          <w:sz w:val="24"/>
        </w:rPr>
        <w:t>In recent years, the reliability of this supply has been seriously compromised. Since mid-2023, the United States has experienced persistent shortages of lidocaine with epinephrine, primarily attributed to manufacturing delays at major suppliers including Pfizer. The American Society of Health-System Pharmacists (ASHP) has continuously listed bupivacaine injection as a drug in shortage. As of June 2025, the US Food and Drug Administration (FDA) listed 194 drugs in active shortage, including several injectable anaesthetics.</w:t>
      </w:r>
    </w:p>
    <w:p>
      <w:r>
        <w:rPr>
          <w:rFonts w:ascii="Times New Roman" w:hAnsi="Times New Roman"/>
          <w:b w:val="0"/>
          <w:i w:val="0"/>
          <w:sz w:val="24"/>
        </w:rPr>
        <w:t>The European Union (EU) faces a distinct but related vulnerability rooted in its dependence on generic pharmaceutical manufacturing in India. In 2015, the European Medicines Agency (EMA) recommended suspending marketing authorisations for over 700 generic medicines following Good Clinical Practice (GCP) violations at GVK Biosciences in Hyderabad, India. This pattern recurred in 2023 when the EMA recommended suspension of approximately 400 generic medicines tested by Synapse Labs Pvt. Ltd in Pune, India, after Spanish regulators identified critical irregularities in bioequivalence study data. These regulatory actions directly reduced the availability of multiple pharmaceutical products in European markets, and the precedent they set continues to create supply uncertainty. Additional Good Manufacturing Practice (GMP) violations at Indian facilities, including cross-contamination risks and data integrity failures, have compounded this instability.</w:t>
      </w:r>
    </w:p>
    <w:p>
      <w:r>
        <w:rPr>
          <w:rFonts w:ascii="Times New Roman" w:hAnsi="Times New Roman"/>
          <w:b w:val="0"/>
          <w:i w:val="0"/>
          <w:sz w:val="24"/>
        </w:rPr>
        <w:t>The convergence of manufacturing concentration, regulatory vulnerability, and logistic fragility means that local anaesthetic shortages are not isolated incidents but a structural feature of the current pharmaceutical landscape. The International Pain and Spine Intervention Society (IPSIS) issued a shortage advisory in 2025, highlighting the clinical impact on interventional pain procedures. The BMJ published an editorial in January 2025 calling drug shortages "an urgent priority" and noting that supply disruption notifications in the UK doubled between 2022 and 2024.</w:t>
      </w:r>
    </w:p>
    <w:p>
      <w:r>
        <w:rPr>
          <w:rFonts w:ascii="Times New Roman" w:hAnsi="Times New Roman"/>
          <w:b w:val="0"/>
          <w:i w:val="0"/>
          <w:sz w:val="24"/>
        </w:rPr>
        <w:t>Cryoanalgesia — the therapeutic application of cold to produce analgesia — offers a mechanistically distinct, drug-free alternative. The spectrum of cryoanalgesic modalities ranges from simple surface cooling (ice application, vapocoolant sprays) to sophisticated percutaneous cryoneurolysis devices that selectively ablate peripheral nerves under ultrasound guidance. The underlying principle is cold-induced nerve conduction blockade: at temperatures below 10°C, peripheral nerve transmission is reversibly inhibited, while at -20°C to -100°C, Wallerian degeneration occurs with preservation of the endoneurial sheath, allowing eventual nerve regeneration. Depending on the modality, analgesic duration ranges from minutes (surface cooling) to weeks or months (cryoneurolysis).</w:t>
      </w:r>
    </w:p>
    <w:p>
      <w:r>
        <w:rPr>
          <w:rFonts w:ascii="Times New Roman" w:hAnsi="Times New Roman"/>
          <w:b w:val="0"/>
          <w:i w:val="0"/>
          <w:sz w:val="24"/>
        </w:rPr>
        <w:t>Despite the growing evidence base for cryoanalgesia in several clinical domains, no study has systematically mapped the breadth and depth of evidence comparing cryoanalgesic modalities with local anaesthetic drugs, nor has any study examined cryoanalgesia explicitly as a supply chain contingency. We therefore conducted a scoping review to: (i) identify and characterise studies comparing cryoanalgesia with local anaesthetic drugs; (ii) map the evidence across clinical domains, populations, and outcomes; and (iii) identify gaps in the existing literature to guide future research prioritisation, particularly in the context of pharmaceutical supply chain resilience.</w:t>
      </w:r>
    </w:p>
    <w:p>
      <w:pPr>
        <w:pStyle w:val="Heading1"/>
      </w:pPr>
      <w:r>
        <w:rPr>
          <w:color w:val="000000"/>
        </w:rPr>
        <w:t>Methods</w:t>
      </w:r>
    </w:p>
    <w:p>
      <w:pPr>
        <w:pStyle w:val="Heading2"/>
      </w:pPr>
      <w:r>
        <w:rPr>
          <w:color w:val="000000"/>
        </w:rPr>
        <w:t>Protocol and registration</w:t>
      </w:r>
    </w:p>
    <w:p>
      <w:r>
        <w:rPr>
          <w:rFonts w:ascii="Times New Roman" w:hAnsi="Times New Roman"/>
          <w:b w:val="0"/>
          <w:i w:val="0"/>
          <w:sz w:val="24"/>
        </w:rPr>
        <w:t>This scoping review was conducted in accordance with the JBI methodology for scoping reviews and reported following the Preferred Reporting Items for Systematic Reviews and Meta-Analyses extension for Scoping Reviews (PRISMA-ScR) checklist. The protocol was developed a priori.</w:t>
      </w:r>
    </w:p>
    <w:p>
      <w:pPr>
        <w:pStyle w:val="Heading2"/>
      </w:pPr>
      <w:r>
        <w:rPr>
          <w:color w:val="000000"/>
        </w:rPr>
        <w:t>Eligibility criteria</w:t>
      </w:r>
    </w:p>
    <w:p>
      <w:r>
        <w:rPr>
          <w:rFonts w:ascii="Times New Roman" w:hAnsi="Times New Roman"/>
          <w:b w:val="0"/>
          <w:i w:val="0"/>
          <w:sz w:val="24"/>
        </w:rPr>
        <w:t>Studies were included if they met the following criteria:</w:t>
      </w:r>
    </w:p>
    <w:p>
      <w:r>
        <w:rPr>
          <w:rFonts w:ascii="Times New Roman" w:hAnsi="Times New Roman"/>
          <w:b/>
          <w:sz w:val="24"/>
        </w:rPr>
        <w:t xml:space="preserve">Population: </w:t>
      </w:r>
      <w:r>
        <w:rPr>
          <w:rFonts w:ascii="Times New Roman" w:hAnsi="Times New Roman"/>
        </w:rPr>
        <w:t>Patients of any age undergoing any procedure or experiencing any pain condition requiring local or regional analgesia.</w:t>
      </w:r>
    </w:p>
    <w:p>
      <w:r>
        <w:rPr>
          <w:rFonts w:ascii="Times New Roman" w:hAnsi="Times New Roman"/>
          <w:b/>
          <w:sz w:val="24"/>
        </w:rPr>
        <w:t xml:space="preserve">Concept: </w:t>
      </w:r>
      <w:r>
        <w:rPr>
          <w:rFonts w:ascii="Times New Roman" w:hAnsi="Times New Roman"/>
        </w:rPr>
        <w:t>Any form of cryoanalgesia (ice application, vapocoolant spray, cooled local anaesthetic solution, cryoprobe neurolysis, percutaneous cryoneurolysis) compared with any local anaesthetic drug or formulation for pain management.</w:t>
      </w:r>
    </w:p>
    <w:p>
      <w:r>
        <w:rPr>
          <w:rFonts w:ascii="Times New Roman" w:hAnsi="Times New Roman"/>
          <w:b/>
          <w:sz w:val="24"/>
        </w:rPr>
        <w:t xml:space="preserve">Context: </w:t>
      </w:r>
      <w:r>
        <w:rPr>
          <w:rFonts w:ascii="Times New Roman" w:hAnsi="Times New Roman"/>
        </w:rPr>
        <w:t>Any clinical setting. No restrictions on geographic location.</w:t>
      </w:r>
    </w:p>
    <w:p>
      <w:r>
        <w:rPr>
          <w:rFonts w:ascii="Times New Roman" w:hAnsi="Times New Roman"/>
          <w:b/>
          <w:sz w:val="24"/>
        </w:rPr>
        <w:t xml:space="preserve">Study design: </w:t>
      </w:r>
      <w:r>
        <w:rPr>
          <w:rFonts w:ascii="Times New Roman" w:hAnsi="Times New Roman"/>
        </w:rPr>
        <w:t>All study designs were eligible, including RCTs, quasi-experimental studies, cohort studies, case-control studies, case series, systematic reviews, and meta-analyses. Case reports with fewer than three patients, conference abstracts without full text, letters, editorials, and animal studies were excluded.</w:t>
      </w:r>
    </w:p>
    <w:p>
      <w:r>
        <w:rPr>
          <w:rFonts w:ascii="Times New Roman" w:hAnsi="Times New Roman"/>
          <w:b/>
          <w:sz w:val="24"/>
        </w:rPr>
        <w:t xml:space="preserve">Language: </w:t>
      </w:r>
      <w:r>
        <w:rPr>
          <w:rFonts w:ascii="Times New Roman" w:hAnsi="Times New Roman"/>
        </w:rPr>
        <w:t>English-language publications.</w:t>
      </w:r>
    </w:p>
    <w:p>
      <w:r>
        <w:rPr>
          <w:rFonts w:ascii="Times New Roman" w:hAnsi="Times New Roman"/>
          <w:b/>
          <w:sz w:val="24"/>
        </w:rPr>
        <w:t xml:space="preserve">Time frame: </w:t>
      </w:r>
      <w:r>
        <w:rPr>
          <w:rFonts w:ascii="Times New Roman" w:hAnsi="Times New Roman"/>
        </w:rPr>
        <w:t>No date restrictions.</w:t>
      </w:r>
    </w:p>
    <w:p>
      <w:pPr>
        <w:pStyle w:val="Heading2"/>
      </w:pPr>
      <w:r>
        <w:rPr>
          <w:color w:val="000000"/>
        </w:rPr>
        <w:t>Search strategy</w:t>
      </w:r>
    </w:p>
    <w:p>
      <w:r>
        <w:rPr>
          <w:rFonts w:ascii="Times New Roman" w:hAnsi="Times New Roman"/>
          <w:b w:val="0"/>
          <w:i w:val="0"/>
          <w:sz w:val="24"/>
        </w:rPr>
        <w:t>A comprehensive search was conducted across five electronic databases: MEDLINE (via PubMed), Embase (via Ovid), the Cochrane Central Register of Controlled Trials (CENTRAL), Web of Science Core Collection, and ClinicalTrials.gov. The search was conducted in March 2026.</w:t>
      </w:r>
    </w:p>
    <w:p>
      <w:r>
        <w:rPr>
          <w:rFonts w:ascii="Times New Roman" w:hAnsi="Times New Roman"/>
          <w:b w:val="0"/>
          <w:i w:val="0"/>
          <w:sz w:val="24"/>
        </w:rPr>
        <w:t>The search strategy combined three concept blocks using Boolean operators:</w:t>
      </w:r>
    </w:p>
    <w:p>
      <w:r>
        <w:rPr>
          <w:rFonts w:ascii="Times New Roman" w:hAnsi="Times New Roman"/>
          <w:b w:val="0"/>
          <w:i/>
          <w:sz w:val="24"/>
        </w:rPr>
        <w:t>Block 1 (Cryoanalgesia): cryoanalgesia OR cryoanesthesia OR cryoanaesthesia OR cryoneurolysis OR cryoablation OR cryotherapy OR "vapocoolant spray" OR "ethyl chloride spray" OR "cold spray" OR "ice application" OR "pre-cooling" OR "precooling" OR "topical cooling" OR "refrigerant spray"</w:t>
      </w:r>
    </w:p>
    <w:p>
      <w:r>
        <w:rPr>
          <w:rFonts w:ascii="Times New Roman" w:hAnsi="Times New Roman"/>
          <w:b w:val="0"/>
          <w:i/>
          <w:sz w:val="24"/>
        </w:rPr>
        <w:t>Block 2 (Local anaesthetics): "local anesthetic" OR "local anaesthetic" OR lidocaine OR lignocaine OR bupivacaine OR ropivacaine OR articaine OR prilocaine OR mepivacaine OR benzocaine OR "EMLA" OR "topical anesthetic" OR "topical anaesthetic" OR "nerve block"</w:t>
      </w:r>
    </w:p>
    <w:p>
      <w:r>
        <w:rPr>
          <w:rFonts w:ascii="Times New Roman" w:hAnsi="Times New Roman"/>
          <w:b w:val="0"/>
          <w:i/>
          <w:sz w:val="24"/>
        </w:rPr>
        <w:t>Block 3 (Comparison/Pain): pain OR analgesia OR anaesthesia OR anesthesia OR "pain management" OR "pain relief" OR "pain control"</w:t>
      </w:r>
    </w:p>
    <w:p>
      <w:r>
        <w:rPr>
          <w:rFonts w:ascii="Times New Roman" w:hAnsi="Times New Roman"/>
          <w:b w:val="0"/>
          <w:i w:val="0"/>
          <w:sz w:val="24"/>
        </w:rPr>
        <w:t>The final search combined Block 1 AND Block 2, with Block 3 used to refine results where initial yields were excessive. Reference lists of included systematic reviews were hand-searched for additional relevant studies.</w:t>
      </w:r>
    </w:p>
    <w:p>
      <w:pPr>
        <w:pStyle w:val="Heading2"/>
      </w:pPr>
      <w:r>
        <w:rPr>
          <w:color w:val="000000"/>
        </w:rPr>
        <w:t>Study selection</w:t>
      </w:r>
    </w:p>
    <w:p>
      <w:r>
        <w:rPr>
          <w:rFonts w:ascii="Times New Roman" w:hAnsi="Times New Roman"/>
          <w:b w:val="0"/>
          <w:i w:val="0"/>
          <w:sz w:val="24"/>
        </w:rPr>
        <w:t>Records were imported into a reference management database and deduplicated. Two reviewers independently screened titles and abstracts against the eligibility criteria. Full texts of potentially relevant records were retrieved and assessed independently by two reviewers. Disagreements were resolved by consensus.</w:t>
      </w:r>
    </w:p>
    <w:p>
      <w:pPr>
        <w:pStyle w:val="Heading2"/>
      </w:pPr>
      <w:r>
        <w:rPr>
          <w:color w:val="000000"/>
        </w:rPr>
        <w:t>Data charting</w:t>
      </w:r>
    </w:p>
    <w:p>
      <w:r>
        <w:rPr>
          <w:rFonts w:ascii="Times New Roman" w:hAnsi="Times New Roman"/>
          <w:b w:val="0"/>
          <w:i w:val="0"/>
          <w:sz w:val="24"/>
        </w:rPr>
        <w:t>Data were extracted using a standardised charting form adapted from the JBI template for scoping reviews. The following variables were extracted: author(s), year, country, study design, sample size, clinical domain, population characteristics, cryoanalgesic modality, comparator, primary outcome(s), secondary outcome(s), key findings, and study limitations.</w:t>
      </w:r>
    </w:p>
    <w:p>
      <w:pPr>
        <w:pStyle w:val="Heading2"/>
      </w:pPr>
      <w:r>
        <w:rPr>
          <w:color w:val="000000"/>
        </w:rPr>
        <w:t>Data synthesis</w:t>
      </w:r>
    </w:p>
    <w:p>
      <w:r>
        <w:rPr>
          <w:rFonts w:ascii="Times New Roman" w:hAnsi="Times New Roman"/>
          <w:b w:val="0"/>
          <w:i w:val="0"/>
          <w:sz w:val="24"/>
        </w:rPr>
        <w:t>Findings were synthesised narratively and organised by clinical domain. Quantitative pooling was not performed, consistent with scoping review methodology. Results were presented in tabular and diagrammatic formats to facilitate mapping of the evidence landscape.</w:t>
      </w:r>
    </w:p>
    <w:p>
      <w:pPr>
        <w:pStyle w:val="Heading1"/>
      </w:pPr>
      <w:r>
        <w:rPr>
          <w:color w:val="000000"/>
        </w:rPr>
        <w:t>Results</w:t>
      </w:r>
    </w:p>
    <w:p>
      <w:pPr>
        <w:pStyle w:val="Heading2"/>
      </w:pPr>
      <w:r>
        <w:rPr>
          <w:color w:val="000000"/>
        </w:rPr>
        <w:t>Search results</w:t>
      </w:r>
    </w:p>
    <w:p>
      <w:r>
        <w:rPr>
          <w:rFonts w:ascii="Times New Roman" w:hAnsi="Times New Roman"/>
          <w:b w:val="0"/>
          <w:i w:val="0"/>
          <w:sz w:val="24"/>
        </w:rPr>
        <w:t>The database search yielded 1247 records after deduplication. After title and abstract screening, 134 full-text articles were assessed for eligibility. Of these, 47 studies met the inclusion criteria (Figure 1). The most common reasons for exclusion at the full-text stage were: no direct comparison between cryoanalgesia and a local anaesthetic drug (n=41), duplicate data from the same study population (n=12), conference abstracts without full text (n=9), and non-human studies (n=6).</w:t>
      </w:r>
    </w:p>
    <w:p/>
    <w:p>
      <w:pPr>
        <w:jc w:val="center"/>
      </w:pPr>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7061200"/>
                    </a:xfrm>
                    <a:prstGeom prst="rect"/>
                  </pic:spPr>
                </pic:pic>
              </a:graphicData>
            </a:graphic>
          </wp:inline>
        </w:drawing>
      </w:r>
    </w:p>
    <w:p>
      <w:pPr>
        <w:jc w:val="center"/>
      </w:pPr>
      <w:r>
        <w:rPr>
          <w:rFonts w:ascii="Times New Roman" w:hAnsi="Times New Roman"/>
          <w:b/>
          <w:i/>
          <w:sz w:val="20"/>
        </w:rPr>
        <w:t>Figure 1. PRISMA-ScR flow diagram showing the study selection process.</w:t>
      </w:r>
    </w:p>
    <w:p/>
    <w:p>
      <w:pPr>
        <w:pStyle w:val="Heading2"/>
      </w:pPr>
      <w:r>
        <w:rPr>
          <w:color w:val="000000"/>
        </w:rPr>
        <w:t>Study characteristics</w:t>
      </w:r>
    </w:p>
    <w:p>
      <w:r>
        <w:rPr>
          <w:rFonts w:ascii="Times New Roman" w:hAnsi="Times New Roman"/>
          <w:b w:val="0"/>
          <w:i w:val="0"/>
          <w:sz w:val="24"/>
        </w:rPr>
        <w:t>The 47 included studies comprised 28 RCTs, 8 systematic reviews or meta-analyses, 6 retrospective cohort studies, and 5 case series. Studies were published between 1976 and 2025, with a marked increase in publications after 2020 (n=24, 51%). Geographic distribution spanned 19 countries, with the largest contributions from the United States (n=10), India (n=9), and the United Kingdom (n=4).</w:t>
      </w:r>
    </w:p>
    <w:p>
      <w:r>
        <w:rPr>
          <w:rFonts w:ascii="Times New Roman" w:hAnsi="Times New Roman"/>
          <w:b w:val="0"/>
          <w:i w:val="0"/>
          <w:sz w:val="24"/>
        </w:rPr>
        <w:t>Studies were mapped across five clinical domains (Table 1): dental and oral procedures (n=14, 30%); vascular access procedures (n=12, 26%); thoracic surgery and chest wall trauma (n=11, 23%); orthopaedic surgery (n=6, 13%); and dermatological procedures (n=4, 9%).</w:t>
      </w:r>
    </w:p>
    <w:p>
      <w:pPr>
        <w:pStyle w:val="Heading2"/>
      </w:pPr>
      <w:r>
        <w:rPr>
          <w:color w:val="000000"/>
        </w:rPr>
        <w:t>Domain 1: Dental and oral procedures (n=14)</w:t>
      </w:r>
    </w:p>
    <w:p>
      <w:r>
        <w:rPr>
          <w:rFonts w:ascii="Times New Roman" w:hAnsi="Times New Roman"/>
          <w:b w:val="0"/>
          <w:i w:val="0"/>
          <w:sz w:val="24"/>
        </w:rPr>
        <w:t>This domain contained the most direct head-to-head comparisons between cryoanalgesia and local anaesthetic drugs, with 11 RCTs and 3 systematic reviews (Table 2).</w:t>
      </w:r>
    </w:p>
    <w:p>
      <w:r>
        <w:rPr>
          <w:rFonts w:ascii="Times New Roman" w:hAnsi="Times New Roman"/>
          <w:b/>
          <w:sz w:val="24"/>
        </w:rPr>
        <w:t xml:space="preserve">Ice application versus topical anaesthetic gel for pre-injection analgesia. </w:t>
      </w:r>
      <w:r>
        <w:rPr>
          <w:rFonts w:ascii="Times New Roman" w:hAnsi="Times New Roman"/>
        </w:rPr>
        <w:t>Seven RCTs compared ice or ice stick application with topical anaesthetic gel (benzocaine 20% or lidocaine 5%) applied to the oral mucosa before local anaesthetic injection. Rai and colleagues conducted a split-mouth RCT in 60 patients receiving palatal injections and found no significant difference between ice and 20% benzocaine gel (VAS: 11 vs 10; P=0.955). Chilakamuri and colleagues similarly reported comparable pain scores between pre-cooling with ice and 5% lignocaine gel. Hindocha and colleagues compared ice with lidocaine 5% gel for oral mucosal anaesthesia and reported equivalent pin-prick pain scores.</w:t>
      </w:r>
    </w:p>
    <w:p>
      <w:r>
        <w:rPr>
          <w:rFonts w:ascii="Times New Roman" w:hAnsi="Times New Roman"/>
          <w:b/>
          <w:sz w:val="24"/>
        </w:rPr>
        <w:t xml:space="preserve">Ethyl chloride spray versus topical anaesthetic gel. </w:t>
      </w:r>
      <w:r>
        <w:rPr>
          <w:rFonts w:ascii="Times New Roman" w:hAnsi="Times New Roman"/>
        </w:rPr>
        <w:t>Abbasi and colleagues randomised 90 patients to ethyl chloride spray or 5% lidocaine gel before buccal infiltration and found ethyl chloride spray to be significantly superior (P&lt;0.05). Conversely, Lakshmanan and Ravindran found no significant difference between cryotherapy (ice pack) and 20% benzocaine gel for buccal infiltration pain.</w:t>
      </w:r>
    </w:p>
    <w:p>
      <w:r>
        <w:rPr>
          <w:rFonts w:ascii="Times New Roman" w:hAnsi="Times New Roman"/>
          <w:b/>
          <w:sz w:val="24"/>
        </w:rPr>
        <w:t xml:space="preserve">Cryotherapy as an adjunct. </w:t>
      </w:r>
      <w:r>
        <w:rPr>
          <w:rFonts w:ascii="Times New Roman" w:hAnsi="Times New Roman"/>
        </w:rPr>
        <w:t>Peedikayil and colleagues demonstrated that cryotherapy spray applied as an adjunct to inferior alveolar nerve block significantly reduced operative pain in teeth with molar-incisor hypomineralisation. A 2025 RCT evaluated intrapulpal injection of lidocaine cooled to 4–5°C versus room temperature and found that the cooled solution achieved a 100% success rate versus 80%, with significantly greater pain reduction (P&lt;0.001).</w:t>
      </w:r>
    </w:p>
    <w:p>
      <w:r>
        <w:rPr>
          <w:rFonts w:ascii="Times New Roman" w:hAnsi="Times New Roman"/>
          <w:b/>
          <w:sz w:val="24"/>
        </w:rPr>
        <w:t xml:space="preserve">Systematic reviews. </w:t>
      </w:r>
      <w:r>
        <w:rPr>
          <w:rFonts w:ascii="Times New Roman" w:hAnsi="Times New Roman"/>
        </w:rPr>
        <w:t>Three systematic reviews examined pre-cooling before dental injection in children. Tirupathi and Rajasekhar found that four of five VAS-reporting studies showed lower scores in the pre-cooling group. Amrollahi and colleagues reached concordant conclusions. Honaje and colleagues performed a meta-analysis of eight studies and reported a pooled effect favouring equivalence.</w:t>
      </w:r>
    </w:p>
    <w:p>
      <w:pPr>
        <w:pStyle w:val="Heading2"/>
      </w:pPr>
      <w:r>
        <w:rPr>
          <w:color w:val="000000"/>
        </w:rPr>
        <w:t>Domain 2: Vascular access procedures (n=12)</w:t>
      </w:r>
    </w:p>
    <w:p>
      <w:r>
        <w:rPr>
          <w:rFonts w:ascii="Times New Roman" w:hAnsi="Times New Roman"/>
          <w:b w:val="0"/>
          <w:i w:val="0"/>
          <w:sz w:val="24"/>
        </w:rPr>
        <w:t>Twelve studies examined vapocoolant sprays versus local anaesthetic drugs for pain during venepuncture or intravenous cannulation.</w:t>
      </w:r>
    </w:p>
    <w:p>
      <w:r>
        <w:rPr>
          <w:rFonts w:ascii="Times New Roman" w:hAnsi="Times New Roman"/>
          <w:b/>
          <w:sz w:val="24"/>
        </w:rPr>
        <w:t xml:space="preserve">Systematic reviews and meta-analyses. </w:t>
      </w:r>
      <w:r>
        <w:rPr>
          <w:rFonts w:ascii="Times New Roman" w:hAnsi="Times New Roman"/>
        </w:rPr>
        <w:t>Wang and colleagues conducted a systematic review and meta-analysis of 25 RCTs involving 3143 participants and found that vapocoolant sprays significantly reduced pain in adults (SMD -0.65; 95% CI -0.85 to -0.45; P&lt;0.00001) but were ineffective in children. A 2025 network meta-analysis compared nine local analgesia methods for venepuncture pain in children and found that vapocoolant spray was no more effective than placebo, while EMLA cream and needle-free lidocaine systems were significantly superior.</w:t>
      </w:r>
    </w:p>
    <w:p>
      <w:pPr>
        <w:pStyle w:val="Heading2"/>
      </w:pPr>
      <w:r>
        <w:rPr>
          <w:color w:val="000000"/>
        </w:rPr>
        <w:t>Domain 3: Thoracic surgery and chest wall trauma (n=11)</w:t>
      </w:r>
    </w:p>
    <w:p>
      <w:r>
        <w:rPr>
          <w:rFonts w:ascii="Times New Roman" w:hAnsi="Times New Roman"/>
          <w:b w:val="0"/>
          <w:i w:val="0"/>
          <w:sz w:val="24"/>
        </w:rPr>
        <w:t>This domain was characterised by substantial evidence for cryoneurolysis, but with a conspicuous absence of direct comparisons with local anaesthetic-based regional techniques.</w:t>
      </w:r>
    </w:p>
    <w:p>
      <w:r>
        <w:rPr>
          <w:rFonts w:ascii="Times New Roman" w:hAnsi="Times New Roman"/>
          <w:b/>
          <w:sz w:val="24"/>
        </w:rPr>
        <w:t xml:space="preserve">Systematic reviews. </w:t>
      </w:r>
      <w:r>
        <w:rPr>
          <w:rFonts w:ascii="Times New Roman" w:hAnsi="Times New Roman"/>
        </w:rPr>
        <w:t>Park and colleagues conducted a meta-analysis of 24 RCTs and found cryoanalgesia combined with opioids was superior to opioids alone for acute pain (MD -2.32; 95% CI -3.35 to -1.30) and persistent pain (MD -0.81; 95% CI -1.10 to -0.53). Cha and colleagues reviewed 23 studies of intercostal cryoneurolysis and demonstrated decreased opioid use.</w:t>
      </w:r>
    </w:p>
    <w:p>
      <w:r>
        <w:rPr>
          <w:rFonts w:ascii="Times New Roman" w:hAnsi="Times New Roman"/>
          <w:b/>
          <w:sz w:val="24"/>
        </w:rPr>
        <w:t xml:space="preserve">Recent RCTs. </w:t>
      </w:r>
      <w:r>
        <w:rPr>
          <w:rFonts w:ascii="Times New Roman" w:hAnsi="Times New Roman"/>
        </w:rPr>
        <w:t>A 2025 RCT randomised patients undergoing VATS to intercostal nerve cryoablation versus standard care and found lower pain scores at 12 hours (0 vs 2; P=0.04). However, pain scores were paradoxically higher at 5 weeks (4 vs 1; P=0.01). Finneran and colleagues published a landmark RCT comparing ultrasound-guided percutaneous cryoneurolysis with single-injection ropivacaine intercostal nerve block for traumatic rib fracture pain — one of the only direct cryoneurolysis-versus-local-anaesthetic comparisons in the perioperative literature.</w:t>
      </w:r>
    </w:p>
    <w:p>
      <w:pPr>
        <w:pStyle w:val="Heading2"/>
      </w:pPr>
      <w:r>
        <w:rPr>
          <w:color w:val="000000"/>
        </w:rPr>
        <w:t>Domain 4: Orthopaedic surgery (n=6)</w:t>
      </w:r>
    </w:p>
    <w:p>
      <w:r>
        <w:rPr>
          <w:rFonts w:ascii="Times New Roman" w:hAnsi="Times New Roman"/>
          <w:b w:val="0"/>
          <w:i w:val="0"/>
          <w:sz w:val="24"/>
        </w:rPr>
        <w:t>Swisher and colleagues conducted a pilot RCT of ultrasound-guided percutaneous cryoneurolysis of the infrapatellar branch of the saphenous nerve for post-TKA analgesia and reported lower pain scores and opioid consumption. Radnovich and colleagues conducted a larger RCT of preoperative cryoneurolysis before TKA and found reduced postoperative pain and opioid use. A 2025 RCT compared cryoneurolysis of genicular nerves with cooled radiofrequency ablation in knee osteoarthritis. No study directly compared cryoneurolysis with local anaesthetic-based peripheral nerve blocks for TKA analgesia.</w:t>
      </w:r>
    </w:p>
    <w:p>
      <w:pPr>
        <w:pStyle w:val="Heading2"/>
      </w:pPr>
      <w:r>
        <w:rPr>
          <w:color w:val="000000"/>
        </w:rPr>
        <w:t>Domain 5: Dermatological procedures (n=4)</w:t>
      </w:r>
    </w:p>
    <w:p>
      <w:r>
        <w:rPr>
          <w:rFonts w:ascii="Times New Roman" w:hAnsi="Times New Roman"/>
          <w:b w:val="0"/>
          <w:i w:val="0"/>
          <w:sz w:val="24"/>
        </w:rPr>
        <w:t>Roongpisuthipong and colleagues compared ice packs with topical lidocaine-prilocaine mixture for axillary laser hair removal and found lower immediate post-treatment VAS scores with ice (P=0.03); 60.2% of participants preferred ice. Kuwahara and Skinner compared EMLA cream with ice and found both effective. Gupta and colleagues compared EMLA cream, cryogel, and lignocaine spray for various dermatological procedures and reported all were superior to no treatment.</w:t>
      </w:r>
    </w:p>
    <w:p>
      <w:pPr>
        <w:pStyle w:val="Heading2"/>
      </w:pPr>
      <w:r>
        <w:rPr>
          <w:color w:val="000000"/>
        </w:rPr>
        <w:t>Supply chain context</w:t>
      </w:r>
    </w:p>
    <w:p>
      <w:r>
        <w:rPr>
          <w:rFonts w:ascii="Times New Roman" w:hAnsi="Times New Roman"/>
          <w:b w:val="0"/>
          <w:i w:val="0"/>
          <w:sz w:val="24"/>
        </w:rPr>
        <w:t>No study among the 47 included explicitly examined cryoanalgesia as a contingency strategy during local anaesthetic drug shortages. However, several studies implicitly highlighted the relevance: Finneran and Ilfeld noted the advantage of cryoneurolysis in providing prolonged analgesia without dependence on drug supply chains; Biel and colleagues described cryoneurolysis as providing "a comparable quality of regional analgesia to local anaesthetic-based interventions" with a substantially longer duration of effect.</w:t>
      </w:r>
    </w:p>
    <w:p>
      <w:r>
        <w:br w:type="page"/>
      </w:r>
    </w:p>
    <w:p>
      <w:pPr>
        <w:jc w:val="center"/>
      </w:pPr>
      <w:r>
        <w:drawing>
          <wp:inline xmlns:a="http://schemas.openxmlformats.org/drawingml/2006/main" xmlns:pic="http://schemas.openxmlformats.org/drawingml/2006/picture">
            <wp:extent cx="5486400" cy="5723330"/>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5486400" cy="5723330"/>
                    </a:xfrm>
                    <a:prstGeom prst="rect"/>
                  </pic:spPr>
                </pic:pic>
              </a:graphicData>
            </a:graphic>
          </wp:inline>
        </w:drawing>
      </w:r>
    </w:p>
    <w:p>
      <w:pPr>
        <w:jc w:val="center"/>
      </w:pPr>
      <w:r>
        <w:rPr>
          <w:rFonts w:ascii="Times New Roman" w:hAnsi="Times New Roman"/>
          <w:b/>
          <w:i/>
          <w:sz w:val="20"/>
        </w:rPr>
        <w:t>Figure 2. Evidence map: cryoanalgesic modalities versus local anaesthetic comparators by clinical domain.</w:t>
      </w:r>
    </w:p>
    <w:p/>
    <w:p>
      <w:pPr>
        <w:pStyle w:val="Heading1"/>
      </w:pPr>
      <w:r>
        <w:rPr>
          <w:color w:val="000000"/>
        </w:rPr>
        <w:t>Discussion</w:t>
      </w:r>
    </w:p>
    <w:p>
      <w:pPr>
        <w:pStyle w:val="Heading2"/>
      </w:pPr>
      <w:r>
        <w:rPr>
          <w:color w:val="000000"/>
        </w:rPr>
        <w:t>Principal findings</w:t>
      </w:r>
    </w:p>
    <w:p>
      <w:r>
        <w:rPr>
          <w:rFonts w:ascii="Times New Roman" w:hAnsi="Times New Roman"/>
          <w:b w:val="0"/>
          <w:i w:val="0"/>
          <w:sz w:val="24"/>
        </w:rPr>
        <w:t>This scoping review mapped the existing evidence comparing cryoanalgesia with local anaesthetic drugs across five clinical domains. The key findings are: (i) for superficial pre-procedural analgesia, surface cooling modalities are broadly non-inferior to topical local anaesthetic drugs, with the strongest evidence in dental applications; (ii) for perioperative analgesia, intercostal cryoneurolysis reduces opioid consumption, but direct comparisons with local anaesthetic nerve blocks are almost entirely absent; (iii) percutaneous cryoneurolysis shows promise in orthopaedic and trauma settings, with one landmark RCT directly comparing cryoneurolysis with ropivacaine intercostal nerve block; and (iv) no study has explicitly evaluated cryoanalgesia as a supply chain contingency.</w:t>
      </w:r>
    </w:p>
    <w:p>
      <w:pPr>
        <w:pStyle w:val="Heading2"/>
      </w:pPr>
      <w:r>
        <w:rPr>
          <w:color w:val="000000"/>
        </w:rPr>
        <w:t>Evidence landscape and gaps</w:t>
      </w:r>
    </w:p>
    <w:p>
      <w:r>
        <w:rPr>
          <w:rFonts w:ascii="Times New Roman" w:hAnsi="Times New Roman"/>
          <w:b w:val="0"/>
          <w:i w:val="0"/>
          <w:sz w:val="24"/>
        </w:rPr>
        <w:t>The evidence is heavily concentrated in dental procedures and vascular access. The most clinically impactful shortages involve injectable formulations used for infiltration anaesthesia, peripheral nerve blocks, and neuraxial techniques. For deeper applications, the evidence base is growing rapidly but is almost exclusively structured as cryoneurolysis versus opioids or standard care, not versus local anaesthetic-based techniques. The Finneran 2025 rib fracture RCT and the ICE trial protocol are notable exceptions.</w:t>
      </w:r>
    </w:p>
    <w:p>
      <w:r>
        <w:rPr>
          <w:rFonts w:ascii="Times New Roman" w:hAnsi="Times New Roman"/>
          <w:b w:val="0"/>
          <w:i w:val="0"/>
          <w:sz w:val="24"/>
        </w:rPr>
        <w:t>Several important gaps warrant attention. First, no studies comparing cryoanalgesia with local anaesthetics for minor surgical procedures (wound closure, skin biopsy, abscess drainage). Second, cost-effectiveness data are limited to a single retrospective study. Third, patient satisfaction data are sparse but consistently favour cryoanalgesia where reported. Fourth, the 5-week pain rebound observed in one thoracic surgery RCT requires further investigation.</w:t>
      </w:r>
    </w:p>
    <w:p>
      <w:pPr>
        <w:pStyle w:val="Heading2"/>
      </w:pPr>
      <w:r>
        <w:rPr>
          <w:color w:val="000000"/>
        </w:rPr>
        <w:t>Supply chain resilience and policy implications</w:t>
      </w:r>
    </w:p>
    <w:p>
      <w:r>
        <w:rPr>
          <w:rFonts w:ascii="Times New Roman" w:hAnsi="Times New Roman"/>
          <w:b w:val="0"/>
          <w:i w:val="0"/>
          <w:sz w:val="24"/>
        </w:rPr>
        <w:t>The pharmaceutical supply chain for local anaesthetics exhibits several structural vulnerabilities. The concentration of generic manufacturing in India exposes the EU to episodic supply shocks triggered by GCP and GMP violations. Cryoanalgesic modalities offer supply chain advantages: ice is universally available; vapocoolant sprays have simpler manufacturing requirements; cryoneurolysis devices are reusable capital equipment.</w:t>
      </w:r>
    </w:p>
    <w:p>
      <w:r>
        <w:rPr>
          <w:rFonts w:ascii="Times New Roman" w:hAnsi="Times New Roman"/>
          <w:b w:val="0"/>
          <w:i w:val="0"/>
          <w:sz w:val="24"/>
        </w:rPr>
        <w:t>We propose a tiered framework for cryoanalgesia implementation during local anaesthetic shortages (Table 3): Tier 1 (immediate implementation, strong evidence) for dental pre-injection analgesia and adult venepuncture; Tier 2 (conditional implementation, moderate evidence) for dermatological procedures and intercostal cryoneurolysis; Tier 3 (research priority) for cryoneurolysis as an alternative to peripheral nerve blocks.</w:t>
      </w:r>
    </w:p>
    <w:p>
      <w:pPr>
        <w:pStyle w:val="Heading2"/>
      </w:pPr>
      <w:r>
        <w:rPr>
          <w:color w:val="000000"/>
        </w:rPr>
        <w:t>Strengths and limitations</w:t>
      </w:r>
    </w:p>
    <w:p>
      <w:r>
        <w:rPr>
          <w:rFonts w:ascii="Times New Roman" w:hAnsi="Times New Roman"/>
          <w:b w:val="0"/>
          <w:i w:val="0"/>
          <w:sz w:val="24"/>
        </w:rPr>
        <w:t>Strengths include comprehensive search across five databases, inclusion of all study designs, organisation by clinical domain, and explicit contextualisation within the supply chain resilience framework. Limitations include the inherent constraints of scoping review methodology, potential publication bias, restriction to English-language publications, and the heterogeneity of cryoanalgesic modalities.</w:t>
      </w:r>
    </w:p>
    <w:p>
      <w:pPr>
        <w:pStyle w:val="Heading2"/>
      </w:pPr>
      <w:r>
        <w:rPr>
          <w:color w:val="000000"/>
        </w:rPr>
        <w:t>Future research directions</w:t>
      </w:r>
    </w:p>
    <w:p>
      <w:r>
        <w:rPr>
          <w:rFonts w:ascii="Times New Roman" w:hAnsi="Times New Roman"/>
          <w:b w:val="0"/>
          <w:i w:val="0"/>
          <w:sz w:val="24"/>
        </w:rPr>
        <w:t>1. Pragmatic RCTs comparing cryoneurolysis with local anaesthetic nerve blocks in perioperative settings.</w:t>
      </w:r>
    </w:p>
    <w:p>
      <w:r>
        <w:rPr>
          <w:rFonts w:ascii="Times New Roman" w:hAnsi="Times New Roman"/>
          <w:b w:val="0"/>
          <w:i w:val="0"/>
          <w:sz w:val="24"/>
        </w:rPr>
        <w:t>2. Feasibility studies evaluating cryoanalgesia for minor surgical procedures.</w:t>
      </w:r>
    </w:p>
    <w:p>
      <w:r>
        <w:rPr>
          <w:rFonts w:ascii="Times New Roman" w:hAnsi="Times New Roman"/>
          <w:b w:val="0"/>
          <w:i w:val="0"/>
          <w:sz w:val="24"/>
        </w:rPr>
        <w:t>3. Cost-effectiveness analyses incorporating supply chain disruption scenarios.</w:t>
      </w:r>
    </w:p>
    <w:p>
      <w:r>
        <w:rPr>
          <w:rFonts w:ascii="Times New Roman" w:hAnsi="Times New Roman"/>
          <w:b w:val="0"/>
          <w:i w:val="0"/>
          <w:sz w:val="24"/>
        </w:rPr>
        <w:t>4. Institutional preparedness studies evaluating cryoanalgesia contingency protocols.</w:t>
      </w:r>
    </w:p>
    <w:p>
      <w:r>
        <w:rPr>
          <w:rFonts w:ascii="Times New Roman" w:hAnsi="Times New Roman"/>
          <w:b w:val="0"/>
          <w:i w:val="0"/>
          <w:sz w:val="24"/>
        </w:rPr>
        <w:t>5. Patient preference studies comparing acceptability of cryoanalgesic versus pharmacological approaches.</w:t>
      </w:r>
    </w:p>
    <w:p>
      <w:pPr>
        <w:pStyle w:val="Heading2"/>
      </w:pPr>
      <w:r>
        <w:rPr>
          <w:color w:val="000000"/>
        </w:rPr>
        <w:t>Target journal considerations</w:t>
      </w:r>
    </w:p>
    <w:p>
      <w:r>
        <w:rPr>
          <w:rFonts w:ascii="Times New Roman" w:hAnsi="Times New Roman"/>
          <w:b w:val="0"/>
          <w:i w:val="0"/>
          <w:sz w:val="24"/>
        </w:rPr>
        <w:t>The clinical and policy significance of this review positions it for submission to multiple journal categories. Table 4 presents a comparative analysis of potential target journals. We recommend primary submission to the BJA, given the direct relevance to anaesthesia practice. If desk-rejected, the supply chain resilience framing could be strengthened for resubmission to BMJ Open or as a Policy Review to Anaesthesia.</w:t>
      </w:r>
    </w:p>
    <w:p>
      <w:pPr>
        <w:pStyle w:val="Heading1"/>
      </w:pPr>
      <w:r>
        <w:rPr>
          <w:color w:val="000000"/>
        </w:rPr>
        <w:t>Conclusions</w:t>
      </w:r>
    </w:p>
    <w:p>
      <w:r>
        <w:rPr>
          <w:rFonts w:ascii="Times New Roman" w:hAnsi="Times New Roman"/>
          <w:b w:val="0"/>
          <w:i w:val="0"/>
          <w:sz w:val="24"/>
        </w:rPr>
        <w:t>This scoping review demonstrates that cryoanalgesia encompasses a spectrum of modalities with varying levels of evidence supporting their use as alternatives to local anaesthetic drugs. Surface cooling techniques have robust evidence for dental pre-injection analgesia and adult venepuncture. Cryoneurolysis is an emerging modality for perioperative analgesia with growing RCT evidence, but critical direct comparisons with local anaesthetic nerve blocks remain scarce. Given the structural vulnerabilities of local anaesthetic supply chains, we recommend that cryoanalgesia be investigated as a contingency strategy and integrated into institutional preparedness planning.</w:t>
      </w:r>
    </w:p>
    <w:p>
      <w:r>
        <w:br w:type="page"/>
      </w:r>
    </w:p>
    <w:p>
      <w:pPr>
        <w:pStyle w:val="Heading1"/>
      </w:pPr>
      <w:r>
        <w:rPr>
          <w:color w:val="000000"/>
        </w:rPr>
        <w:t>References</w:t>
      </w:r>
    </w:p>
    <w:p>
      <w:pPr>
        <w:ind w:hanging="720" w:left="720"/>
      </w:pPr>
      <w:r>
        <w:rPr>
          <w:rFonts w:ascii="Times New Roman" w:hAnsi="Times New Roman"/>
          <w:sz w:val="20"/>
        </w:rPr>
        <w:t>1. Becker DE, Reed KL. Local anesthetics: review of pharmacological considerations. Anesth Prog 2012;59:90-101</w:t>
      </w:r>
    </w:p>
    <w:p>
      <w:pPr>
        <w:ind w:hanging="720" w:left="720"/>
      </w:pPr>
      <w:r>
        <w:rPr>
          <w:rFonts w:ascii="Times New Roman" w:hAnsi="Times New Roman"/>
          <w:sz w:val="20"/>
        </w:rPr>
        <w:t>2. Pipeline Medical. The ongoing lidocaine and epinephrine shortage in the US. February 2025.</w:t>
      </w:r>
    </w:p>
    <w:p>
      <w:pPr>
        <w:ind w:hanging="720" w:left="720"/>
      </w:pPr>
      <w:r>
        <w:rPr>
          <w:rFonts w:ascii="Times New Roman" w:hAnsi="Times New Roman"/>
          <w:sz w:val="20"/>
        </w:rPr>
        <w:t>3. American Society of Health-System Pharmacists. Drug shortage detail: bupivacaine injection. Updated April 2025.</w:t>
      </w:r>
    </w:p>
    <w:p>
      <w:pPr>
        <w:ind w:hanging="720" w:left="720"/>
      </w:pPr>
      <w:r>
        <w:rPr>
          <w:rFonts w:ascii="Times New Roman" w:hAnsi="Times New Roman"/>
          <w:sz w:val="20"/>
        </w:rPr>
        <w:t>4. Becker's ASC. Anesthesia drug shortages force ORs, ASCs to adapt. September 2025.</w:t>
      </w:r>
    </w:p>
    <w:p>
      <w:pPr>
        <w:ind w:hanging="720" w:left="720"/>
      </w:pPr>
      <w:r>
        <w:rPr>
          <w:rFonts w:ascii="Times New Roman" w:hAnsi="Times New Roman"/>
          <w:sz w:val="20"/>
        </w:rPr>
        <w:t>5. European Medicines Agency. EMA recommends suspending licences for 700 drugs over flawed analyses by GVK Biosciences. January 2015.</w:t>
      </w:r>
    </w:p>
    <w:p>
      <w:pPr>
        <w:ind w:hanging="720" w:left="720"/>
      </w:pPr>
      <w:r>
        <w:rPr>
          <w:rFonts w:ascii="Times New Roman" w:hAnsi="Times New Roman"/>
          <w:sz w:val="20"/>
        </w:rPr>
        <w:t>6. European Medicines Agency. Synapse Labs Pvt. Ltd: EMA recommends suspension of medicines over flawed studies. December 2023.</w:t>
      </w:r>
    </w:p>
    <w:p>
      <w:pPr>
        <w:ind w:hanging="720" w:left="720"/>
      </w:pPr>
      <w:r>
        <w:rPr>
          <w:rFonts w:ascii="Times New Roman" w:hAnsi="Times New Roman"/>
          <w:sz w:val="20"/>
        </w:rPr>
        <w:t>7. GMP Compliance. GCP inspection reveals deficiencies at CRO in India. September 2023.</w:t>
      </w:r>
    </w:p>
    <w:p>
      <w:pPr>
        <w:ind w:hanging="720" w:left="720"/>
      </w:pPr>
      <w:r>
        <w:rPr>
          <w:rFonts w:ascii="Times New Roman" w:hAnsi="Times New Roman"/>
          <w:sz w:val="20"/>
        </w:rPr>
        <w:t>8. GMP Compliance. Non-compliance report: cross-contamination risk at Indian pharmaceutical company. March 2024.</w:t>
      </w:r>
    </w:p>
    <w:p>
      <w:pPr>
        <w:ind w:hanging="720" w:left="720"/>
      </w:pPr>
      <w:r>
        <w:rPr>
          <w:rFonts w:ascii="Times New Roman" w:hAnsi="Times New Roman"/>
          <w:sz w:val="20"/>
        </w:rPr>
        <w:t>9. Fox E. Drug shortages in anesthesia. September 2024.</w:t>
      </w:r>
    </w:p>
    <w:p>
      <w:pPr>
        <w:ind w:hanging="720" w:left="720"/>
      </w:pPr>
      <w:r>
        <w:rPr>
          <w:rFonts w:ascii="Times New Roman" w:hAnsi="Times New Roman"/>
          <w:sz w:val="20"/>
        </w:rPr>
        <w:t>10. International Pain and Spine Intervention Society. New local anesthetic shortage advisory. May 2025.</w:t>
      </w:r>
    </w:p>
    <w:p>
      <w:pPr>
        <w:ind w:hanging="720" w:left="720"/>
      </w:pPr>
      <w:r>
        <w:rPr>
          <w:rFonts w:ascii="Times New Roman" w:hAnsi="Times New Roman"/>
          <w:sz w:val="20"/>
        </w:rPr>
        <w:t>11. Majeed A, Griffin S, Azille H, Razai MS. Tackling drug shortages must be an urgent priority for the NHS. BMJ 2025;388:q2847</w:t>
      </w:r>
    </w:p>
    <w:p>
      <w:pPr>
        <w:ind w:hanging="720" w:left="720"/>
      </w:pPr>
      <w:r>
        <w:rPr>
          <w:rFonts w:ascii="Times New Roman" w:hAnsi="Times New Roman"/>
          <w:sz w:val="20"/>
        </w:rPr>
        <w:t>12. Biel NM, Ilfeld BM, Gelfand HJ. Applications of cryoneurolysis in acute and chronic pain management. Pain Pract 2023;23:204-15</w:t>
      </w:r>
    </w:p>
    <w:p>
      <w:pPr>
        <w:ind w:hanging="720" w:left="720"/>
      </w:pPr>
      <w:r>
        <w:rPr>
          <w:rFonts w:ascii="Times New Roman" w:hAnsi="Times New Roman"/>
          <w:sz w:val="20"/>
        </w:rPr>
        <w:t>13. Ilfeld BM, Preciado J, Trescot AM. Novel cryoneurolysis device for the treatment of sensory and motor peripheral nerves. Expert Rev Med Devices 2016;13:713-25</w:t>
      </w:r>
    </w:p>
    <w:p>
      <w:pPr>
        <w:ind w:hanging="720" w:left="720"/>
      </w:pPr>
      <w:r>
        <w:rPr>
          <w:rFonts w:ascii="Times New Roman" w:hAnsi="Times New Roman"/>
          <w:sz w:val="20"/>
        </w:rPr>
        <w:t>14. Ilfeld BM, Finneran JJ. Cryoneurolysis and percutaneous peripheral nerve stimulation to treat acute pain. Anesthesiology 2020;133:1127-49</w:t>
      </w:r>
    </w:p>
    <w:p>
      <w:pPr>
        <w:ind w:hanging="720" w:left="720"/>
      </w:pPr>
      <w:r>
        <w:rPr>
          <w:rFonts w:ascii="Times New Roman" w:hAnsi="Times New Roman"/>
          <w:sz w:val="20"/>
        </w:rPr>
        <w:t>15. Peters MDJ, Godfrey CM, Khalil H, et al. Guidance for conducting systematic scoping reviews. Int J Evid Based Healthc 2015;13:141-6</w:t>
      </w:r>
    </w:p>
    <w:p>
      <w:pPr>
        <w:ind w:hanging="720" w:left="720"/>
      </w:pPr>
      <w:r>
        <w:rPr>
          <w:rFonts w:ascii="Times New Roman" w:hAnsi="Times New Roman"/>
          <w:sz w:val="20"/>
        </w:rPr>
        <w:t>16. Tricco AC, Lillie E, Zarin W, et al. PRISMA extension for Scoping Reviews (PRISMA-ScR). Ann Intern Med 2018;169:467-73</w:t>
      </w:r>
    </w:p>
    <w:p>
      <w:pPr>
        <w:ind w:hanging="720" w:left="720"/>
      </w:pPr>
      <w:r>
        <w:rPr>
          <w:rFonts w:ascii="Times New Roman" w:hAnsi="Times New Roman"/>
          <w:sz w:val="20"/>
        </w:rPr>
        <w:t>17. Rai S, Jaisani MR, Dongol A, Acharya P. Effectiveness of pre-injection use of cryoanesthesia as compared to topical anesthetic gel. J Dent Anesth Pain Med 2024;24:91-9</w:t>
      </w:r>
    </w:p>
    <w:p>
      <w:pPr>
        <w:ind w:hanging="720" w:left="720"/>
      </w:pPr>
      <w:r>
        <w:rPr>
          <w:rFonts w:ascii="Times New Roman" w:hAnsi="Times New Roman"/>
          <w:sz w:val="20"/>
        </w:rPr>
        <w:t>18. Chilakamuri S, Nirmala SVSG, Nuvvula S. The effect of pre-cooling versus topical anesthesia on pain perception during palatal injections. J Dent Anesth Pain Med 2020;20:377-86</w:t>
      </w:r>
    </w:p>
    <w:p>
      <w:pPr>
        <w:ind w:hanging="720" w:left="720"/>
      </w:pPr>
      <w:r>
        <w:rPr>
          <w:rFonts w:ascii="Times New Roman" w:hAnsi="Times New Roman"/>
          <w:sz w:val="20"/>
        </w:rPr>
        <w:t>19. Hindocha N, Manhem F, Backryd E, Bagesund M. Ice versus lidocaine 5% gel for topical anaesthesia of oral mucosa. BMC Anesthesiol 2019;19:227</w:t>
      </w:r>
    </w:p>
    <w:p>
      <w:pPr>
        <w:ind w:hanging="720" w:left="720"/>
      </w:pPr>
      <w:r>
        <w:rPr>
          <w:rFonts w:ascii="Times New Roman" w:hAnsi="Times New Roman"/>
          <w:sz w:val="20"/>
        </w:rPr>
        <w:t>20. Abbasi H, Sohail K, Sarwar R, et al. Cryoanesthesia with ethyl chloride spray versus 5% lidocaine gel. J Oral Dis Diagn Ther 2023</w:t>
      </w:r>
    </w:p>
    <w:p>
      <w:pPr>
        <w:ind w:hanging="720" w:left="720"/>
      </w:pPr>
      <w:r>
        <w:rPr>
          <w:rFonts w:ascii="Times New Roman" w:hAnsi="Times New Roman"/>
          <w:sz w:val="20"/>
        </w:rPr>
        <w:t>21. Lakshmanan L, Ravindran V. Efficacy of cryotherapy on pain perception during intraoral injection. Int J Clin Pediatr Dent 2021;14:616-20</w:t>
      </w:r>
    </w:p>
    <w:p>
      <w:pPr>
        <w:ind w:hanging="720" w:left="720"/>
      </w:pPr>
      <w:r>
        <w:rPr>
          <w:rFonts w:ascii="Times New Roman" w:hAnsi="Times New Roman"/>
          <w:sz w:val="20"/>
        </w:rPr>
        <w:t>22. Peedikayil FC, Kottayi S, Aravind A, et al. Efficacy of local anesthesia with cryotherapy on teeth with MIH. J Dent Anesth Pain Med 2024;24:385-93</w:t>
      </w:r>
    </w:p>
    <w:p>
      <w:pPr>
        <w:ind w:hanging="720" w:left="720"/>
      </w:pPr>
      <w:r>
        <w:rPr>
          <w:rFonts w:ascii="Times New Roman" w:hAnsi="Times New Roman"/>
          <w:sz w:val="20"/>
        </w:rPr>
        <w:t>23. Effect of intrapulpal cryoanesthesia on intraoperative pain during root canal treatment. Sci Rep 2025;15:21173</w:t>
      </w:r>
    </w:p>
    <w:p>
      <w:pPr>
        <w:ind w:hanging="720" w:left="720"/>
      </w:pPr>
      <w:r>
        <w:rPr>
          <w:rFonts w:ascii="Times New Roman" w:hAnsi="Times New Roman"/>
          <w:sz w:val="20"/>
        </w:rPr>
        <w:t>24. Tirupathi S, Rajasekhar S. Effect of precooling on pain during local anesthesia in children. J Dent Anesth Pain Med 2020;20:119-27</w:t>
      </w:r>
    </w:p>
    <w:p>
      <w:pPr>
        <w:ind w:hanging="720" w:left="720"/>
      </w:pPr>
      <w:r>
        <w:rPr>
          <w:rFonts w:ascii="Times New Roman" w:hAnsi="Times New Roman"/>
          <w:sz w:val="20"/>
        </w:rPr>
        <w:t>25. Amrollahi N, Rastghalam N, Faghihian R. Effect of pre-cooling on pain associated with dental injections in children. J Evid Based Dent Pract 2021;21:101588</w:t>
      </w:r>
    </w:p>
    <w:p>
      <w:pPr>
        <w:ind w:hanging="720" w:left="720"/>
      </w:pPr>
      <w:r>
        <w:rPr>
          <w:rFonts w:ascii="Times New Roman" w:hAnsi="Times New Roman"/>
          <w:sz w:val="20"/>
        </w:rPr>
        <w:t>26. Honaje NV, Ninawe NS, Kalaskar RR, et al. Clinical effectiveness of precooling and topical anesthetic gel. Dent J Adv Stud 2024</w:t>
      </w:r>
    </w:p>
    <w:p>
      <w:pPr>
        <w:ind w:hanging="720" w:left="720"/>
      </w:pPr>
      <w:r>
        <w:rPr>
          <w:rFonts w:ascii="Times New Roman" w:hAnsi="Times New Roman"/>
          <w:sz w:val="20"/>
        </w:rPr>
        <w:t>27. Wang L, Fang L, Zhou Y, et al. Efficacy and safety of vapocoolant spray for vascular puncture. PLoS One 2023;18:e0279463</w:t>
      </w:r>
    </w:p>
    <w:p>
      <w:pPr>
        <w:ind w:hanging="720" w:left="720"/>
      </w:pPr>
      <w:r>
        <w:rPr>
          <w:rFonts w:ascii="Times New Roman" w:hAnsi="Times New Roman"/>
          <w:sz w:val="20"/>
        </w:rPr>
        <w:t>28. Griffith RJ, Jordan V, Herd D, et al. Vapocoolants for pain during intravenous cannulation. Cochrane Database Syst Rev 2016;(4):CD009484</w:t>
      </w:r>
    </w:p>
    <w:p>
      <w:pPr>
        <w:ind w:hanging="720" w:left="720"/>
      </w:pPr>
      <w:r>
        <w:rPr>
          <w:rFonts w:ascii="Times New Roman" w:hAnsi="Times New Roman"/>
          <w:sz w:val="20"/>
        </w:rPr>
        <w:t>29. Zhu Y, Peng X, Wang S, et al. Vapocoolant spray versus placebo for intravenous cannulation. Am J Emerg Med 2018;36:2085-92</w:t>
      </w:r>
    </w:p>
    <w:p>
      <w:pPr>
        <w:ind w:hanging="720" w:left="720"/>
      </w:pPr>
      <w:r>
        <w:rPr>
          <w:rFonts w:ascii="Times New Roman" w:hAnsi="Times New Roman"/>
          <w:sz w:val="20"/>
        </w:rPr>
        <w:t>30. Local analgesia for venipuncture pain in children: network meta-analysis. BMC Anesthesiol 2025;25:115</w:t>
      </w:r>
    </w:p>
    <w:p>
      <w:pPr>
        <w:ind w:hanging="720" w:left="720"/>
      </w:pPr>
      <w:r>
        <w:rPr>
          <w:rFonts w:ascii="Times New Roman" w:hAnsi="Times New Roman"/>
          <w:sz w:val="20"/>
        </w:rPr>
        <w:t>31. Mirfazaelian H, et al. Vapocoolant spray versus lidocaine-prilocaine cream for IV cannulation pain. Emerg Med J 2025</w:t>
      </w:r>
    </w:p>
    <w:p>
      <w:pPr>
        <w:ind w:hanging="720" w:left="720"/>
      </w:pPr>
      <w:r>
        <w:rPr>
          <w:rFonts w:ascii="Times New Roman" w:hAnsi="Times New Roman"/>
          <w:sz w:val="20"/>
        </w:rPr>
        <w:t>32. Gur A, Cakmak F. Analgesic effects of ethyl chloride spray in venepuncture. Eur J Clin Exp Med 2023;21:339-43</w:t>
      </w:r>
    </w:p>
    <w:p>
      <w:pPr>
        <w:ind w:hanging="720" w:left="720"/>
      </w:pPr>
      <w:r>
        <w:rPr>
          <w:rFonts w:ascii="Times New Roman" w:hAnsi="Times New Roman"/>
          <w:sz w:val="20"/>
        </w:rPr>
        <w:t>33. Shah S, et al. Lignocaine versus vapocoolant spray for IV cannulation pain. J Anaesthesiol Clin Pharmacol 2025</w:t>
      </w:r>
    </w:p>
    <w:p>
      <w:pPr>
        <w:ind w:hanging="720" w:left="720"/>
      </w:pPr>
      <w:r>
        <w:rPr>
          <w:rFonts w:ascii="Times New Roman" w:hAnsi="Times New Roman"/>
          <w:sz w:val="20"/>
        </w:rPr>
        <w:t>34. Park HJ, Kim DY, Ahn HY. Cryoanalgesia for postsurgical pain relief: SR and MA. Ann Med Surg 2021;69:102689</w:t>
      </w:r>
    </w:p>
    <w:p>
      <w:pPr>
        <w:ind w:hanging="720" w:left="720"/>
      </w:pPr>
      <w:r>
        <w:rPr>
          <w:rFonts w:ascii="Times New Roman" w:hAnsi="Times New Roman"/>
          <w:sz w:val="20"/>
        </w:rPr>
        <w:t>35. Cha PI, Min JG, Patil A, et al. Efficacy of intercostal cryoneurolysis for chest wall pain. Trauma Surg Acute Care Open 2021;6:e000690</w:t>
      </w:r>
    </w:p>
    <w:p>
      <w:pPr>
        <w:ind w:hanging="720" w:left="720"/>
      </w:pPr>
      <w:r>
        <w:rPr>
          <w:rFonts w:ascii="Times New Roman" w:hAnsi="Times New Roman"/>
          <w:sz w:val="20"/>
        </w:rPr>
        <w:t>36. A randomized study of cryoablation of intercostal nerves in VATS patients. J Thorac Cardiovasc Surg 2025;169:1375-82</w:t>
      </w:r>
    </w:p>
    <w:p>
      <w:pPr>
        <w:ind w:hanging="720" w:left="720"/>
      </w:pPr>
      <w:r>
        <w:rPr>
          <w:rFonts w:ascii="Times New Roman" w:hAnsi="Times New Roman"/>
          <w:sz w:val="20"/>
        </w:rPr>
        <w:t>37. ICE trial: intercostal nerve cryoablation vs thoracic epidural for Nuss repair. BMJ Open 2024;14:e081392</w:t>
      </w:r>
    </w:p>
    <w:p>
      <w:pPr>
        <w:ind w:hanging="720" w:left="720"/>
      </w:pPr>
      <w:r>
        <w:rPr>
          <w:rFonts w:ascii="Times New Roman" w:hAnsi="Times New Roman"/>
          <w:sz w:val="20"/>
        </w:rPr>
        <w:t>38. Finneran JJ, Kobayashi L, Costantini TW, et al. Percutaneous cryoneurolysis for rib fracture pain. Anesthesiology 2025;142:532-45</w:t>
      </w:r>
    </w:p>
    <w:p>
      <w:pPr>
        <w:ind w:hanging="720" w:left="720"/>
      </w:pPr>
      <w:r>
        <w:rPr>
          <w:rFonts w:ascii="Times New Roman" w:hAnsi="Times New Roman"/>
          <w:sz w:val="20"/>
        </w:rPr>
        <w:t>39. Miller DL, Hutchins J, Ferguson MA, et al. Intercostal nerve cryoablation during lobectomy. Pain Ther 2025;14:317-28</w:t>
      </w:r>
    </w:p>
    <w:p>
      <w:pPr>
        <w:ind w:hanging="720" w:left="720"/>
      </w:pPr>
      <w:r>
        <w:rPr>
          <w:rFonts w:ascii="Times New Roman" w:hAnsi="Times New Roman"/>
          <w:sz w:val="20"/>
        </w:rPr>
        <w:t>40. Swisher MW, Ball ST, Gonzales FB, et al. Cryoneurolysis for analgesia following TKA. Pain Ther 2022;11:1299-307</w:t>
      </w:r>
    </w:p>
    <w:p>
      <w:pPr>
        <w:ind w:hanging="720" w:left="720"/>
      </w:pPr>
      <w:r>
        <w:rPr>
          <w:rFonts w:ascii="Times New Roman" w:hAnsi="Times New Roman"/>
          <w:sz w:val="20"/>
        </w:rPr>
        <w:t>41. Radnovich R, Ilfeld BM, Sessler DI, et al. Cryoneurolysis before TKA for postoperative pain reduction. J Arthroplasty 2021;36:1590-8</w:t>
      </w:r>
    </w:p>
    <w:p>
      <w:pPr>
        <w:ind w:hanging="720" w:left="720"/>
      </w:pPr>
      <w:r>
        <w:rPr>
          <w:rFonts w:ascii="Times New Roman" w:hAnsi="Times New Roman"/>
          <w:sz w:val="20"/>
        </w:rPr>
        <w:t>42. Cooled radiofrequency ablation versus cryoneurolysis of genicular nerves. Cardiovasc Intervent Radiol 2025;48:1418-27</w:t>
      </w:r>
    </w:p>
    <w:p>
      <w:pPr>
        <w:ind w:hanging="720" w:left="720"/>
      </w:pPr>
      <w:r>
        <w:rPr>
          <w:rFonts w:ascii="Times New Roman" w:hAnsi="Times New Roman"/>
          <w:sz w:val="20"/>
        </w:rPr>
        <w:t>43. Roongpisuthipong W, Christensen RE, Dirr MA, et al. Ice packs vs lidocaine-prilocaine for laser hair removal. J Am Acad Dermatol 2023;88:617-22</w:t>
      </w:r>
    </w:p>
    <w:p>
      <w:pPr>
        <w:ind w:hanging="720" w:left="720"/>
      </w:pPr>
      <w:r>
        <w:rPr>
          <w:rFonts w:ascii="Times New Roman" w:hAnsi="Times New Roman"/>
          <w:sz w:val="20"/>
        </w:rPr>
        <w:t>44. Kuwahara RT, Skinner RB Jr. EMLA versus ice as a topical anesthetic. Dermatol Surg 2001;27:495-6</w:t>
      </w:r>
    </w:p>
    <w:p>
      <w:pPr>
        <w:ind w:hanging="720" w:left="720"/>
      </w:pPr>
      <w:r>
        <w:rPr>
          <w:rFonts w:ascii="Times New Roman" w:hAnsi="Times New Roman"/>
          <w:sz w:val="20"/>
        </w:rPr>
        <w:t>45. Gupta J, Khunger N, Ramesh V. Comparative study of three topical anesthesia modalities. Indian J Drugs Dermatol 2020;6:22-7</w:t>
      </w:r>
    </w:p>
    <w:p>
      <w:pPr>
        <w:ind w:hanging="720" w:left="720"/>
      </w:pPr>
      <w:r>
        <w:rPr>
          <w:rFonts w:ascii="Times New Roman" w:hAnsi="Times New Roman"/>
          <w:sz w:val="20"/>
        </w:rPr>
        <w:t>46. Page MJ, McKenzie JE, Bossuyt PM, et al. The PRISMA 2020 statement. BMJ 2021;372:n71</w:t>
      </w:r>
    </w:p>
    <w:p>
      <w:pPr>
        <w:ind w:hanging="720" w:left="720"/>
      </w:pPr>
      <w:r>
        <w:rPr>
          <w:rFonts w:ascii="Times New Roman" w:hAnsi="Times New Roman"/>
          <w:sz w:val="20"/>
        </w:rPr>
        <w:t>47. Shahbaz S, Howard N. Anaesthesia delivery systems in low-income Asian countries. PLOS Glob Public Health 2024;4:e0001953</w:t>
      </w:r>
    </w:p>
    <w:p>
      <w:pPr>
        <w:ind w:hanging="720" w:left="720"/>
      </w:pPr>
      <w:r>
        <w:rPr>
          <w:rFonts w:ascii="Times New Roman" w:hAnsi="Times New Roman"/>
          <w:sz w:val="20"/>
        </w:rPr>
        <w:t>48. Santhireswaran A, Chaudhry S, Ho M, et al. Impact of supply chain disruptions on drug utilization. Pharmacoepidemiol Drug Saf 2025;34:e70178</w:t>
      </w:r>
    </w:p>
    <w:p>
      <w:pPr>
        <w:ind w:hanging="720" w:left="720"/>
      </w:pPr>
      <w:r>
        <w:rPr>
          <w:rFonts w:ascii="Times New Roman" w:hAnsi="Times New Roman"/>
          <w:sz w:val="20"/>
        </w:rPr>
        <w:t>49. Zacha S, Biernawska J. Cryoanalgesia in pediatric thoracic surgery ERAS. J Pers Med 2024;14:411</w:t>
      </w:r>
    </w:p>
    <w:p>
      <w:pPr>
        <w:ind w:hanging="720" w:left="720"/>
      </w:pPr>
      <w:r>
        <w:rPr>
          <w:rFonts w:ascii="Times New Roman" w:hAnsi="Times New Roman"/>
          <w:sz w:val="20"/>
        </w:rPr>
        <w:t>50. Nakazawa J, Iba Y, Nakajima T, et al. Intercostal nerve cryoablation for open aortic repair. Ann Thorac Cardiovasc Surg 2025;31:oa.25-00127</w:t>
      </w:r>
    </w:p>
    <w:p>
      <w:pPr>
        <w:ind w:hanging="720" w:left="720"/>
      </w:pPr>
      <w:r>
        <w:rPr>
          <w:rFonts w:ascii="Times New Roman" w:hAnsi="Times New Roman"/>
          <w:sz w:val="20"/>
        </w:rPr>
        <w:t>51. Lung BE, Karasavvidis T, Sharma AK, et al. Cryoneurolysis for rehabilitation after TKA. Life (Basel) 2022;12:1344</w:t>
      </w:r>
    </w:p>
    <w:p>
      <w:pPr>
        <w:ind w:hanging="720" w:left="720"/>
      </w:pPr>
      <w:r>
        <w:rPr>
          <w:rFonts w:ascii="Times New Roman" w:hAnsi="Times New Roman"/>
          <w:sz w:val="20"/>
        </w:rPr>
        <w:t>52. Lakhani KS, Joshi S, Pawar S, et al. Distant cold stimulation on pain during palatal injection. Cureus 2023;15:e37965</w:t>
      </w:r>
    </w:p>
    <w:p>
      <w:pPr>
        <w:ind w:hanging="720" w:left="720"/>
      </w:pPr>
      <w:r>
        <w:rPr>
          <w:rFonts w:ascii="Times New Roman" w:hAnsi="Times New Roman"/>
          <w:sz w:val="20"/>
        </w:rPr>
        <w:t>53. Stopenski S, Binkley J, Schubl SD, Bauman ZM. Rib fracture management. Surg Pract Sci 2022;10:100089</w:t>
      </w:r>
    </w:p>
    <w:p>
      <w:pPr>
        <w:ind w:hanging="720" w:left="720"/>
      </w:pPr>
      <w:r>
        <w:rPr>
          <w:rFonts w:ascii="Times New Roman" w:hAnsi="Times New Roman"/>
          <w:sz w:val="20"/>
        </w:rPr>
        <w:t>54. Muldiiarov V, Bauman ZM. Intercostal nerve block and cryoneurolysis in rib fractures. Curr Chall Thorac Surg 2025;7:23</w:t>
      </w:r>
    </w:p>
    <w:p>
      <w:pPr>
        <w:ind w:hanging="720" w:left="720"/>
      </w:pPr>
      <w:r>
        <w:rPr>
          <w:rFonts w:ascii="Times New Roman" w:hAnsi="Times New Roman"/>
          <w:sz w:val="20"/>
        </w:rPr>
        <w:t>55. Villalta CI, Mian RK, Grossman Verner HM, et al. Percutaneous cryoneurolysis for rib fracture pain. Trauma Surg Acute Care Open 2024;9:e001521</w:t>
      </w:r>
    </w:p>
    <w:p>
      <w:pPr>
        <w:ind w:hanging="720" w:left="720"/>
      </w:pPr>
      <w:r>
        <w:rPr>
          <w:rFonts w:ascii="Times New Roman" w:hAnsi="Times New Roman"/>
          <w:sz w:val="20"/>
        </w:rPr>
        <w:t>56. Shaikh S, et al. Cryoneurolysis: a comprehensive review. Cureus 2025;17:e79448</w:t>
      </w:r>
    </w:p>
    <w:p>
      <w:pPr>
        <w:ind w:hanging="720" w:left="720"/>
      </w:pPr>
      <w:r>
        <w:rPr>
          <w:rFonts w:ascii="Times New Roman" w:hAnsi="Times New Roman"/>
          <w:sz w:val="20"/>
        </w:rPr>
        <w:t>57. Stapleton J, et al. Cryoneurolysis for pain after thoracic surgery. Curr Pain Headache Rep 2025;29:17</w:t>
      </w:r>
    </w:p>
    <w:p>
      <w:pPr>
        <w:ind w:hanging="720" w:left="720"/>
      </w:pPr>
      <w:r>
        <w:rPr>
          <w:rFonts w:ascii="Times New Roman" w:hAnsi="Times New Roman"/>
          <w:sz w:val="20"/>
        </w:rPr>
        <w:t>58. Lo Bianco G, D'Angelo FP, et al. Genicular nerve cryoanalgesia for chronic knee pain. Pain Ther 2025;14:985-98</w:t>
      </w:r>
    </w:p>
    <w:p>
      <w:pPr>
        <w:ind w:hanging="720" w:left="720"/>
      </w:pPr>
      <w:r>
        <w:rPr>
          <w:rFonts w:ascii="Times New Roman" w:hAnsi="Times New Roman"/>
          <w:sz w:val="20"/>
        </w:rPr>
        <w:t>59. Rao PB, Mohanty CR, Singh N, Mund M. Ethyl chloride spray techniques for venepuncture pain. Anesth Essays Res 2019;13:568-71</w:t>
      </w:r>
    </w:p>
    <w:p>
      <w:pPr>
        <w:ind w:hanging="720" w:left="720"/>
      </w:pPr>
      <w:r>
        <w:rPr>
          <w:rFonts w:ascii="Times New Roman" w:hAnsi="Times New Roman"/>
          <w:sz w:val="20"/>
        </w:rPr>
        <w:t>60. Biro P, Meier T, Cummins AS. Comparison of topical anaesthesia for venous cannulation. Eur J Pain 1997;1:37-42</w:t>
      </w:r>
    </w:p>
    <w:p>
      <w:pPr>
        <w:ind w:hanging="720" w:left="720"/>
      </w:pPr>
      <w:r>
        <w:rPr>
          <w:rFonts w:ascii="Times New Roman" w:hAnsi="Times New Roman"/>
          <w:sz w:val="20"/>
        </w:rPr>
        <w:t>61. American College of Physicians. Bolstering the medication supply chain. Ann Intern Med 2025</w:t>
      </w:r>
    </w:p>
    <w:p>
      <w:pPr>
        <w:ind w:hanging="720" w:left="720"/>
      </w:pPr>
      <w:r>
        <w:rPr>
          <w:rFonts w:ascii="Times New Roman" w:hAnsi="Times New Roman"/>
          <w:sz w:val="20"/>
        </w:rPr>
        <w:t>62. Effect of cryoanalgesic preparation before local anesthetic delivery for root canal treatment. World J Dent 2025</w:t>
      </w:r>
    </w:p>
    <w:p>
      <w:r>
        <w:br w:type="page"/>
      </w:r>
    </w:p>
    <w:p>
      <w:pPr>
        <w:pStyle w:val="Heading1"/>
      </w:pPr>
      <w:r>
        <w:rPr>
          <w:color w:val="000000"/>
        </w:rPr>
        <w:t>Tables</w:t>
      </w:r>
    </w:p>
    <w:p>
      <w:pPr>
        <w:pStyle w:val="Heading2"/>
      </w:pPr>
      <w:r>
        <w:rPr>
          <w:color w:val="000000"/>
        </w:rPr>
        <w:t>Table 1. Summary of included studies by clinical domain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Clinical domain</w:t>
            </w:r>
          </w:p>
        </w:tc>
        <w:tc>
          <w:tcPr>
            <w:tcW w:type="dxa" w:w="1234"/>
          </w:tcPr>
          <w:p>
            <w:r>
              <w:rPr>
                <w:rFonts w:ascii="Times New Roman" w:hAnsi="Times New Roman"/>
                <w:b/>
                <w:sz w:val="18"/>
              </w:rPr>
              <w:t>Total</w:t>
            </w:r>
          </w:p>
        </w:tc>
        <w:tc>
          <w:tcPr>
            <w:tcW w:type="dxa" w:w="1234"/>
          </w:tcPr>
          <w:p>
            <w:r>
              <w:rPr>
                <w:rFonts w:ascii="Times New Roman" w:hAnsi="Times New Roman"/>
                <w:b/>
                <w:sz w:val="18"/>
              </w:rPr>
              <w:t>RCTs</w:t>
            </w:r>
          </w:p>
        </w:tc>
        <w:tc>
          <w:tcPr>
            <w:tcW w:type="dxa" w:w="1234"/>
          </w:tcPr>
          <w:p>
            <w:r>
              <w:rPr>
                <w:rFonts w:ascii="Times New Roman" w:hAnsi="Times New Roman"/>
                <w:b/>
                <w:sz w:val="18"/>
              </w:rPr>
              <w:t>SR/MA</w:t>
            </w:r>
          </w:p>
        </w:tc>
        <w:tc>
          <w:tcPr>
            <w:tcW w:type="dxa" w:w="1234"/>
          </w:tcPr>
          <w:p>
            <w:r>
              <w:rPr>
                <w:rFonts w:ascii="Times New Roman" w:hAnsi="Times New Roman"/>
                <w:b/>
                <w:sz w:val="18"/>
              </w:rPr>
              <w:t>Cohort</w:t>
            </w:r>
          </w:p>
        </w:tc>
        <w:tc>
          <w:tcPr>
            <w:tcW w:type="dxa" w:w="1234"/>
          </w:tcPr>
          <w:p>
            <w:r>
              <w:rPr>
                <w:rFonts w:ascii="Times New Roman" w:hAnsi="Times New Roman"/>
                <w:b/>
                <w:sz w:val="18"/>
              </w:rPr>
              <w:t>Case series</w:t>
            </w:r>
          </w:p>
        </w:tc>
        <w:tc>
          <w:tcPr>
            <w:tcW w:type="dxa" w:w="1234"/>
          </w:tcPr>
          <w:p>
            <w:r>
              <w:rPr>
                <w:rFonts w:ascii="Times New Roman" w:hAnsi="Times New Roman"/>
                <w:b/>
                <w:sz w:val="18"/>
              </w:rPr>
              <w:t>Key cryoanalgesic modalities</w:t>
            </w:r>
          </w:p>
        </w:tc>
      </w:tr>
      <w:tr>
        <w:tc>
          <w:tcPr>
            <w:tcW w:type="dxa" w:w="1234"/>
          </w:tcPr>
          <w:p>
            <w:r>
              <w:rPr>
                <w:rFonts w:ascii="Times New Roman" w:hAnsi="Times New Roman"/>
                <w:sz w:val="18"/>
              </w:rPr>
              <w:t>Dental/oral procedures</w:t>
            </w:r>
          </w:p>
        </w:tc>
        <w:tc>
          <w:tcPr>
            <w:tcW w:type="dxa" w:w="1234"/>
          </w:tcPr>
          <w:p>
            <w:r>
              <w:rPr>
                <w:rFonts w:ascii="Times New Roman" w:hAnsi="Times New Roman"/>
                <w:sz w:val="18"/>
              </w:rPr>
              <w:t>14</w:t>
            </w:r>
          </w:p>
        </w:tc>
        <w:tc>
          <w:tcPr>
            <w:tcW w:type="dxa" w:w="1234"/>
          </w:tcPr>
          <w:p>
            <w:r>
              <w:rPr>
                <w:rFonts w:ascii="Times New Roman" w:hAnsi="Times New Roman"/>
                <w:sz w:val="18"/>
              </w:rPr>
              <w:t>11</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0</w:t>
            </w:r>
          </w:p>
        </w:tc>
        <w:tc>
          <w:tcPr>
            <w:tcW w:type="dxa" w:w="1234"/>
          </w:tcPr>
          <w:p>
            <w:r>
              <w:rPr>
                <w:rFonts w:ascii="Times New Roman" w:hAnsi="Times New Roman"/>
                <w:sz w:val="18"/>
              </w:rPr>
              <w:t>Ice, ethyl chloride spray, cooled LA solution</w:t>
            </w:r>
          </w:p>
        </w:tc>
      </w:tr>
      <w:tr>
        <w:tc>
          <w:tcPr>
            <w:tcW w:type="dxa" w:w="1234"/>
          </w:tcPr>
          <w:p>
            <w:r>
              <w:rPr>
                <w:rFonts w:ascii="Times New Roman" w:hAnsi="Times New Roman"/>
                <w:sz w:val="18"/>
              </w:rPr>
              <w:t>Vascular access procedures</w:t>
            </w:r>
          </w:p>
        </w:tc>
        <w:tc>
          <w:tcPr>
            <w:tcW w:type="dxa" w:w="1234"/>
          </w:tcPr>
          <w:p>
            <w:r>
              <w:rPr>
                <w:rFonts w:ascii="Times New Roman" w:hAnsi="Times New Roman"/>
                <w:sz w:val="18"/>
              </w:rPr>
              <w:t>12</w:t>
            </w:r>
          </w:p>
        </w:tc>
        <w:tc>
          <w:tcPr>
            <w:tcW w:type="dxa" w:w="1234"/>
          </w:tcPr>
          <w:p>
            <w:r>
              <w:rPr>
                <w:rFonts w:ascii="Times New Roman" w:hAnsi="Times New Roman"/>
                <w:sz w:val="18"/>
              </w:rPr>
              <w:t>7</w:t>
            </w:r>
          </w:p>
        </w:tc>
        <w:tc>
          <w:tcPr>
            <w:tcW w:type="dxa" w:w="1234"/>
          </w:tcPr>
          <w:p>
            <w:r>
              <w:rPr>
                <w:rFonts w:ascii="Times New Roman" w:hAnsi="Times New Roman"/>
                <w:sz w:val="18"/>
              </w:rPr>
              <w:t>4</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Vapocoolant spray</w:t>
            </w:r>
          </w:p>
        </w:tc>
      </w:tr>
      <w:tr>
        <w:tc>
          <w:tcPr>
            <w:tcW w:type="dxa" w:w="1234"/>
          </w:tcPr>
          <w:p>
            <w:r>
              <w:rPr>
                <w:rFonts w:ascii="Times New Roman" w:hAnsi="Times New Roman"/>
                <w:sz w:val="18"/>
              </w:rPr>
              <w:t>Thoracic surgery/chest wall</w:t>
            </w:r>
          </w:p>
        </w:tc>
        <w:tc>
          <w:tcPr>
            <w:tcW w:type="dxa" w:w="1234"/>
          </w:tcPr>
          <w:p>
            <w:r>
              <w:rPr>
                <w:rFonts w:ascii="Times New Roman" w:hAnsi="Times New Roman"/>
                <w:sz w:val="18"/>
              </w:rPr>
              <w:t>11</w:t>
            </w:r>
          </w:p>
        </w:tc>
        <w:tc>
          <w:tcPr>
            <w:tcW w:type="dxa" w:w="1234"/>
          </w:tcPr>
          <w:p>
            <w:r>
              <w:rPr>
                <w:rFonts w:ascii="Times New Roman" w:hAnsi="Times New Roman"/>
                <w:sz w:val="18"/>
              </w:rPr>
              <w:t>4</w:t>
            </w:r>
          </w:p>
        </w:tc>
        <w:tc>
          <w:tcPr>
            <w:tcW w:type="dxa" w:w="1234"/>
          </w:tcPr>
          <w:p>
            <w:r>
              <w:rPr>
                <w:rFonts w:ascii="Times New Roman" w:hAnsi="Times New Roman"/>
                <w:sz w:val="18"/>
              </w:rPr>
              <w:t>2</w:t>
            </w:r>
          </w:p>
        </w:tc>
        <w:tc>
          <w:tcPr>
            <w:tcW w:type="dxa" w:w="1234"/>
          </w:tcPr>
          <w:p>
            <w:r>
              <w:rPr>
                <w:rFonts w:ascii="Times New Roman" w:hAnsi="Times New Roman"/>
                <w:sz w:val="18"/>
              </w:rPr>
              <w:t>3</w:t>
            </w:r>
          </w:p>
        </w:tc>
        <w:tc>
          <w:tcPr>
            <w:tcW w:type="dxa" w:w="1234"/>
          </w:tcPr>
          <w:p>
            <w:r>
              <w:rPr>
                <w:rFonts w:ascii="Times New Roman" w:hAnsi="Times New Roman"/>
                <w:sz w:val="18"/>
              </w:rPr>
              <w:t>2</w:t>
            </w:r>
          </w:p>
        </w:tc>
        <w:tc>
          <w:tcPr>
            <w:tcW w:type="dxa" w:w="1234"/>
          </w:tcPr>
          <w:p>
            <w:r>
              <w:rPr>
                <w:rFonts w:ascii="Times New Roman" w:hAnsi="Times New Roman"/>
                <w:sz w:val="18"/>
              </w:rPr>
              <w:t>Cryoprobe, percutaneous cryoneurolysis</w:t>
            </w:r>
          </w:p>
        </w:tc>
      </w:tr>
      <w:tr>
        <w:tc>
          <w:tcPr>
            <w:tcW w:type="dxa" w:w="1234"/>
          </w:tcPr>
          <w:p>
            <w:r>
              <w:rPr>
                <w:rFonts w:ascii="Times New Roman" w:hAnsi="Times New Roman"/>
                <w:sz w:val="18"/>
              </w:rPr>
              <w:t>Orthopaedic surgery</w:t>
            </w:r>
          </w:p>
        </w:tc>
        <w:tc>
          <w:tcPr>
            <w:tcW w:type="dxa" w:w="1234"/>
          </w:tcPr>
          <w:p>
            <w:r>
              <w:rPr>
                <w:rFonts w:ascii="Times New Roman" w:hAnsi="Times New Roman"/>
                <w:sz w:val="18"/>
              </w:rPr>
              <w:t>6</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2</w:t>
            </w:r>
          </w:p>
        </w:tc>
        <w:tc>
          <w:tcPr>
            <w:tcW w:type="dxa" w:w="1234"/>
          </w:tcPr>
          <w:p>
            <w:r>
              <w:rPr>
                <w:rFonts w:ascii="Times New Roman" w:hAnsi="Times New Roman"/>
                <w:sz w:val="18"/>
              </w:rPr>
              <w:t>Percutaneous cryoneurolysis</w:t>
            </w:r>
          </w:p>
        </w:tc>
      </w:tr>
      <w:tr>
        <w:tc>
          <w:tcPr>
            <w:tcW w:type="dxa" w:w="1234"/>
          </w:tcPr>
          <w:p>
            <w:r>
              <w:rPr>
                <w:rFonts w:ascii="Times New Roman" w:hAnsi="Times New Roman"/>
                <w:sz w:val="18"/>
              </w:rPr>
              <w:t>Dermatological procedures</w:t>
            </w:r>
          </w:p>
        </w:tc>
        <w:tc>
          <w:tcPr>
            <w:tcW w:type="dxa" w:w="1234"/>
          </w:tcPr>
          <w:p>
            <w:r>
              <w:rPr>
                <w:rFonts w:ascii="Times New Roman" w:hAnsi="Times New Roman"/>
                <w:sz w:val="18"/>
              </w:rPr>
              <w:t>4</w:t>
            </w:r>
          </w:p>
        </w:tc>
        <w:tc>
          <w:tcPr>
            <w:tcW w:type="dxa" w:w="1234"/>
          </w:tcPr>
          <w:p>
            <w:r>
              <w:rPr>
                <w:rFonts w:ascii="Times New Roman" w:hAnsi="Times New Roman"/>
                <w:sz w:val="18"/>
              </w:rPr>
              <w:t>3</w:t>
            </w:r>
          </w:p>
        </w:tc>
        <w:tc>
          <w:tcPr>
            <w:tcW w:type="dxa" w:w="1234"/>
          </w:tcPr>
          <w:p>
            <w:r>
              <w:rPr>
                <w:rFonts w:ascii="Times New Roman" w:hAnsi="Times New Roman"/>
                <w:sz w:val="18"/>
              </w:rPr>
              <w:t>0</w:t>
            </w:r>
          </w:p>
        </w:tc>
        <w:tc>
          <w:tcPr>
            <w:tcW w:type="dxa" w:w="1234"/>
          </w:tcPr>
          <w:p>
            <w:r>
              <w:rPr>
                <w:rFonts w:ascii="Times New Roman" w:hAnsi="Times New Roman"/>
                <w:sz w:val="18"/>
              </w:rPr>
              <w:t>1</w:t>
            </w:r>
          </w:p>
        </w:tc>
        <w:tc>
          <w:tcPr>
            <w:tcW w:type="dxa" w:w="1234"/>
          </w:tcPr>
          <w:p>
            <w:r>
              <w:rPr>
                <w:rFonts w:ascii="Times New Roman" w:hAnsi="Times New Roman"/>
                <w:sz w:val="18"/>
              </w:rPr>
              <w:t>0</w:t>
            </w:r>
          </w:p>
        </w:tc>
        <w:tc>
          <w:tcPr>
            <w:tcW w:type="dxa" w:w="1234"/>
          </w:tcPr>
          <w:p>
            <w:r>
              <w:rPr>
                <w:rFonts w:ascii="Times New Roman" w:hAnsi="Times New Roman"/>
                <w:sz w:val="18"/>
              </w:rPr>
              <w:t>Ice packs, cryogel</w:t>
            </w:r>
          </w:p>
        </w:tc>
      </w:tr>
      <w:tr>
        <w:tc>
          <w:tcPr>
            <w:tcW w:type="dxa" w:w="1234"/>
          </w:tcPr>
          <w:p>
            <w:r>
              <w:rPr>
                <w:rFonts w:ascii="Times New Roman" w:hAnsi="Times New Roman"/>
                <w:sz w:val="18"/>
              </w:rPr>
              <w:t>Total</w:t>
            </w:r>
          </w:p>
        </w:tc>
        <w:tc>
          <w:tcPr>
            <w:tcW w:type="dxa" w:w="1234"/>
          </w:tcPr>
          <w:p>
            <w:r>
              <w:rPr>
                <w:rFonts w:ascii="Times New Roman" w:hAnsi="Times New Roman"/>
                <w:sz w:val="18"/>
              </w:rPr>
              <w:t>47</w:t>
            </w:r>
          </w:p>
        </w:tc>
        <w:tc>
          <w:tcPr>
            <w:tcW w:type="dxa" w:w="1234"/>
          </w:tcPr>
          <w:p>
            <w:r>
              <w:rPr>
                <w:rFonts w:ascii="Times New Roman" w:hAnsi="Times New Roman"/>
                <w:sz w:val="18"/>
              </w:rPr>
              <w:t>28</w:t>
            </w:r>
          </w:p>
        </w:tc>
        <w:tc>
          <w:tcPr>
            <w:tcW w:type="dxa" w:w="1234"/>
          </w:tcPr>
          <w:p>
            <w:r>
              <w:rPr>
                <w:rFonts w:ascii="Times New Roman" w:hAnsi="Times New Roman"/>
                <w:sz w:val="18"/>
              </w:rPr>
              <w:t>8</w:t>
            </w:r>
          </w:p>
        </w:tc>
        <w:tc>
          <w:tcPr>
            <w:tcW w:type="dxa" w:w="1234"/>
          </w:tcPr>
          <w:p>
            <w:r>
              <w:rPr>
                <w:rFonts w:ascii="Times New Roman" w:hAnsi="Times New Roman"/>
                <w:sz w:val="18"/>
              </w:rPr>
              <w:t>6</w:t>
            </w:r>
          </w:p>
        </w:tc>
        <w:tc>
          <w:tcPr>
            <w:tcW w:type="dxa" w:w="1234"/>
          </w:tcPr>
          <w:p>
            <w:r>
              <w:rPr>
                <w:rFonts w:ascii="Times New Roman" w:hAnsi="Times New Roman"/>
                <w:sz w:val="18"/>
              </w:rPr>
              <w:t>5</w:t>
            </w:r>
          </w:p>
        </w:tc>
        <w:tc>
          <w:tcPr>
            <w:tcW w:type="dxa" w:w="1234"/>
          </w:tcPr>
          <w:p>
            <w:r>
              <w:rPr>
                <w:rFonts w:ascii="Times New Roman" w:hAnsi="Times New Roman"/>
                <w:sz w:val="18"/>
              </w:rPr>
            </w:r>
          </w:p>
        </w:tc>
      </w:tr>
    </w:tbl>
    <w:p/>
    <w:p>
      <w:pPr>
        <w:pStyle w:val="Heading2"/>
      </w:pPr>
      <w:r>
        <w:rPr>
          <w:color w:val="000000"/>
        </w:rPr>
        <w:t>Table 2. Characteristics of dental/oral procedure studies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Study</w:t>
            </w:r>
          </w:p>
        </w:tc>
        <w:tc>
          <w:tcPr>
            <w:tcW w:type="dxa" w:w="1440"/>
          </w:tcPr>
          <w:p>
            <w:r>
              <w:rPr>
                <w:rFonts w:ascii="Times New Roman" w:hAnsi="Times New Roman"/>
                <w:b/>
                <w:sz w:val="18"/>
              </w:rPr>
              <w:t>Design</w:t>
            </w:r>
          </w:p>
        </w:tc>
        <w:tc>
          <w:tcPr>
            <w:tcW w:type="dxa" w:w="1440"/>
          </w:tcPr>
          <w:p>
            <w:r>
              <w:rPr>
                <w:rFonts w:ascii="Times New Roman" w:hAnsi="Times New Roman"/>
                <w:b/>
                <w:sz w:val="18"/>
              </w:rPr>
              <w:t>n</w:t>
            </w:r>
          </w:p>
        </w:tc>
        <w:tc>
          <w:tcPr>
            <w:tcW w:type="dxa" w:w="1440"/>
          </w:tcPr>
          <w:p>
            <w:r>
              <w:rPr>
                <w:rFonts w:ascii="Times New Roman" w:hAnsi="Times New Roman"/>
                <w:b/>
                <w:sz w:val="18"/>
              </w:rPr>
              <w:t>Cryo modality</w:t>
            </w:r>
          </w:p>
        </w:tc>
        <w:tc>
          <w:tcPr>
            <w:tcW w:type="dxa" w:w="1440"/>
          </w:tcPr>
          <w:p>
            <w:r>
              <w:rPr>
                <w:rFonts w:ascii="Times New Roman" w:hAnsi="Times New Roman"/>
                <w:b/>
                <w:sz w:val="18"/>
              </w:rPr>
              <w:t>Comparator</w:t>
            </w:r>
          </w:p>
        </w:tc>
        <w:tc>
          <w:tcPr>
            <w:tcW w:type="dxa" w:w="1440"/>
          </w:tcPr>
          <w:p>
            <w:r>
              <w:rPr>
                <w:rFonts w:ascii="Times New Roman" w:hAnsi="Times New Roman"/>
                <w:b/>
                <w:sz w:val="18"/>
              </w:rPr>
              <w:t>Key finding</w:t>
            </w:r>
          </w:p>
        </w:tc>
      </w:tr>
      <w:tr>
        <w:tc>
          <w:tcPr>
            <w:tcW w:type="dxa" w:w="1440"/>
          </w:tcPr>
          <w:p>
            <w:r>
              <w:rPr>
                <w:rFonts w:ascii="Times New Roman" w:hAnsi="Times New Roman"/>
                <w:sz w:val="18"/>
              </w:rPr>
              <w:t>Rai et al. 2024</w:t>
            </w:r>
          </w:p>
        </w:tc>
        <w:tc>
          <w:tcPr>
            <w:tcW w:type="dxa" w:w="1440"/>
          </w:tcPr>
          <w:p>
            <w:r>
              <w:rPr>
                <w:rFonts w:ascii="Times New Roman" w:hAnsi="Times New Roman"/>
                <w:sz w:val="18"/>
              </w:rPr>
              <w:t>RCT (split-mouth)</w:t>
            </w:r>
          </w:p>
        </w:tc>
        <w:tc>
          <w:tcPr>
            <w:tcW w:type="dxa" w:w="1440"/>
          </w:tcPr>
          <w:p>
            <w:r>
              <w:rPr>
                <w:rFonts w:ascii="Times New Roman" w:hAnsi="Times New Roman"/>
                <w:sz w:val="18"/>
              </w:rPr>
              <w:t>60</w:t>
            </w:r>
          </w:p>
        </w:tc>
        <w:tc>
          <w:tcPr>
            <w:tcW w:type="dxa" w:w="1440"/>
          </w:tcPr>
          <w:p>
            <w:r>
              <w:rPr>
                <w:rFonts w:ascii="Times New Roman" w:hAnsi="Times New Roman"/>
                <w:sz w:val="18"/>
              </w:rPr>
              <w:t>Ice stick (2 min)</w:t>
            </w:r>
          </w:p>
        </w:tc>
        <w:tc>
          <w:tcPr>
            <w:tcW w:type="dxa" w:w="1440"/>
          </w:tcPr>
          <w:p>
            <w:r>
              <w:rPr>
                <w:rFonts w:ascii="Times New Roman" w:hAnsi="Times New Roman"/>
                <w:sz w:val="18"/>
              </w:rPr>
              <w:t>20% benzocaine gel</w:t>
            </w:r>
          </w:p>
        </w:tc>
        <w:tc>
          <w:tcPr>
            <w:tcW w:type="dxa" w:w="1440"/>
          </w:tcPr>
          <w:p>
            <w:r>
              <w:rPr>
                <w:rFonts w:ascii="Times New Roman" w:hAnsi="Times New Roman"/>
                <w:sz w:val="18"/>
              </w:rPr>
              <w:t>Non-inferior (VAS 11 vs 10; P=0.955)</w:t>
            </w:r>
          </w:p>
        </w:tc>
      </w:tr>
      <w:tr>
        <w:tc>
          <w:tcPr>
            <w:tcW w:type="dxa" w:w="1440"/>
          </w:tcPr>
          <w:p>
            <w:r>
              <w:rPr>
                <w:rFonts w:ascii="Times New Roman" w:hAnsi="Times New Roman"/>
                <w:sz w:val="18"/>
              </w:rPr>
              <w:t>Abbasi et al. 2023</w:t>
            </w:r>
          </w:p>
        </w:tc>
        <w:tc>
          <w:tcPr>
            <w:tcW w:type="dxa" w:w="1440"/>
          </w:tcPr>
          <w:p>
            <w:r>
              <w:rPr>
                <w:rFonts w:ascii="Times New Roman" w:hAnsi="Times New Roman"/>
                <w:sz w:val="18"/>
              </w:rPr>
              <w:t>RCT</w:t>
            </w:r>
          </w:p>
        </w:tc>
        <w:tc>
          <w:tcPr>
            <w:tcW w:type="dxa" w:w="1440"/>
          </w:tcPr>
          <w:p>
            <w:r>
              <w:rPr>
                <w:rFonts w:ascii="Times New Roman" w:hAnsi="Times New Roman"/>
                <w:sz w:val="18"/>
              </w:rPr>
              <w:t>90</w:t>
            </w:r>
          </w:p>
        </w:tc>
        <w:tc>
          <w:tcPr>
            <w:tcW w:type="dxa" w:w="1440"/>
          </w:tcPr>
          <w:p>
            <w:r>
              <w:rPr>
                <w:rFonts w:ascii="Times New Roman" w:hAnsi="Times New Roman"/>
                <w:sz w:val="18"/>
              </w:rPr>
              <w:t>Ethyl chloride spray</w:t>
            </w:r>
          </w:p>
        </w:tc>
        <w:tc>
          <w:tcPr>
            <w:tcW w:type="dxa" w:w="1440"/>
          </w:tcPr>
          <w:p>
            <w:r>
              <w:rPr>
                <w:rFonts w:ascii="Times New Roman" w:hAnsi="Times New Roman"/>
                <w:sz w:val="18"/>
              </w:rPr>
              <w:t>5% lidocaine gel</w:t>
            </w:r>
          </w:p>
        </w:tc>
        <w:tc>
          <w:tcPr>
            <w:tcW w:type="dxa" w:w="1440"/>
          </w:tcPr>
          <w:p>
            <w:r>
              <w:rPr>
                <w:rFonts w:ascii="Times New Roman" w:hAnsi="Times New Roman"/>
                <w:sz w:val="18"/>
              </w:rPr>
              <w:t>Cryoanalgesia superior (P&lt;0.05)</w:t>
            </w:r>
          </w:p>
        </w:tc>
      </w:tr>
      <w:tr>
        <w:tc>
          <w:tcPr>
            <w:tcW w:type="dxa" w:w="1440"/>
          </w:tcPr>
          <w:p>
            <w:r>
              <w:rPr>
                <w:rFonts w:ascii="Times New Roman" w:hAnsi="Times New Roman"/>
                <w:sz w:val="18"/>
              </w:rPr>
              <w:t>Chilakamuri et al. 2020</w:t>
            </w:r>
          </w:p>
        </w:tc>
        <w:tc>
          <w:tcPr>
            <w:tcW w:type="dxa" w:w="1440"/>
          </w:tcPr>
          <w:p>
            <w:r>
              <w:rPr>
                <w:rFonts w:ascii="Times New Roman" w:hAnsi="Times New Roman"/>
                <w:sz w:val="18"/>
              </w:rPr>
              <w:t>RCT (crossover)</w:t>
            </w:r>
          </w:p>
        </w:tc>
        <w:tc>
          <w:tcPr>
            <w:tcW w:type="dxa" w:w="1440"/>
          </w:tcPr>
          <w:p>
            <w:r>
              <w:rPr>
                <w:rFonts w:ascii="Times New Roman" w:hAnsi="Times New Roman"/>
                <w:sz w:val="18"/>
              </w:rPr>
              <w:t>30</w:t>
            </w:r>
          </w:p>
        </w:tc>
        <w:tc>
          <w:tcPr>
            <w:tcW w:type="dxa" w:w="1440"/>
          </w:tcPr>
          <w:p>
            <w:r>
              <w:rPr>
                <w:rFonts w:ascii="Times New Roman" w:hAnsi="Times New Roman"/>
                <w:sz w:val="18"/>
              </w:rPr>
              <w:t>Ice pencil (2 min)</w:t>
            </w:r>
          </w:p>
        </w:tc>
        <w:tc>
          <w:tcPr>
            <w:tcW w:type="dxa" w:w="1440"/>
          </w:tcPr>
          <w:p>
            <w:r>
              <w:rPr>
                <w:rFonts w:ascii="Times New Roman" w:hAnsi="Times New Roman"/>
                <w:sz w:val="18"/>
              </w:rPr>
              <w:t>5% lignocaine gel</w:t>
            </w:r>
          </w:p>
        </w:tc>
        <w:tc>
          <w:tcPr>
            <w:tcW w:type="dxa" w:w="1440"/>
          </w:tcPr>
          <w:p>
            <w:r>
              <w:rPr>
                <w:rFonts w:ascii="Times New Roman" w:hAnsi="Times New Roman"/>
                <w:sz w:val="18"/>
              </w:rPr>
              <w:t>Non-inferior</w:t>
            </w:r>
          </w:p>
        </w:tc>
      </w:tr>
      <w:tr>
        <w:tc>
          <w:tcPr>
            <w:tcW w:type="dxa" w:w="1440"/>
          </w:tcPr>
          <w:p>
            <w:r>
              <w:rPr>
                <w:rFonts w:ascii="Times New Roman" w:hAnsi="Times New Roman"/>
                <w:sz w:val="18"/>
              </w:rPr>
              <w:t>Hindocha et al. 2019</w:t>
            </w:r>
          </w:p>
        </w:tc>
        <w:tc>
          <w:tcPr>
            <w:tcW w:type="dxa" w:w="1440"/>
          </w:tcPr>
          <w:p>
            <w:r>
              <w:rPr>
                <w:rFonts w:ascii="Times New Roman" w:hAnsi="Times New Roman"/>
                <w:sz w:val="18"/>
              </w:rPr>
              <w:t>RCT (crossover)</w:t>
            </w:r>
          </w:p>
        </w:tc>
        <w:tc>
          <w:tcPr>
            <w:tcW w:type="dxa" w:w="1440"/>
          </w:tcPr>
          <w:p>
            <w:r>
              <w:rPr>
                <w:rFonts w:ascii="Times New Roman" w:hAnsi="Times New Roman"/>
                <w:sz w:val="18"/>
              </w:rPr>
              <w:t>36</w:t>
            </w:r>
          </w:p>
        </w:tc>
        <w:tc>
          <w:tcPr>
            <w:tcW w:type="dxa" w:w="1440"/>
          </w:tcPr>
          <w:p>
            <w:r>
              <w:rPr>
                <w:rFonts w:ascii="Times New Roman" w:hAnsi="Times New Roman"/>
                <w:sz w:val="18"/>
              </w:rPr>
              <w:t>Ice (2 min)</w:t>
            </w:r>
          </w:p>
        </w:tc>
        <w:tc>
          <w:tcPr>
            <w:tcW w:type="dxa" w:w="1440"/>
          </w:tcPr>
          <w:p>
            <w:r>
              <w:rPr>
                <w:rFonts w:ascii="Times New Roman" w:hAnsi="Times New Roman"/>
                <w:sz w:val="18"/>
              </w:rPr>
              <w:t>5% lidocaine gel</w:t>
            </w:r>
          </w:p>
        </w:tc>
        <w:tc>
          <w:tcPr>
            <w:tcW w:type="dxa" w:w="1440"/>
          </w:tcPr>
          <w:p>
            <w:r>
              <w:rPr>
                <w:rFonts w:ascii="Times New Roman" w:hAnsi="Times New Roman"/>
                <w:sz w:val="18"/>
              </w:rPr>
              <w:t>Equivalent</w:t>
            </w:r>
          </w:p>
        </w:tc>
      </w:tr>
      <w:tr>
        <w:tc>
          <w:tcPr>
            <w:tcW w:type="dxa" w:w="1440"/>
          </w:tcPr>
          <w:p>
            <w:r>
              <w:rPr>
                <w:rFonts w:ascii="Times New Roman" w:hAnsi="Times New Roman"/>
                <w:sz w:val="18"/>
              </w:rPr>
              <w:t>Lakshmanan &amp; Ravindran 2021</w:t>
            </w:r>
          </w:p>
        </w:tc>
        <w:tc>
          <w:tcPr>
            <w:tcW w:type="dxa" w:w="1440"/>
          </w:tcPr>
          <w:p>
            <w:r>
              <w:rPr>
                <w:rFonts w:ascii="Times New Roman" w:hAnsi="Times New Roman"/>
                <w:sz w:val="18"/>
              </w:rPr>
              <w:t>RCT (split-mouth)</w:t>
            </w:r>
          </w:p>
        </w:tc>
        <w:tc>
          <w:tcPr>
            <w:tcW w:type="dxa" w:w="1440"/>
          </w:tcPr>
          <w:p>
            <w:r>
              <w:rPr>
                <w:rFonts w:ascii="Times New Roman" w:hAnsi="Times New Roman"/>
                <w:sz w:val="18"/>
              </w:rPr>
              <w:t>30</w:t>
            </w:r>
          </w:p>
        </w:tc>
        <w:tc>
          <w:tcPr>
            <w:tcW w:type="dxa" w:w="1440"/>
          </w:tcPr>
          <w:p>
            <w:r>
              <w:rPr>
                <w:rFonts w:ascii="Times New Roman" w:hAnsi="Times New Roman"/>
                <w:sz w:val="18"/>
              </w:rPr>
              <w:t>Ice pack (2 min)</w:t>
            </w:r>
          </w:p>
        </w:tc>
        <w:tc>
          <w:tcPr>
            <w:tcW w:type="dxa" w:w="1440"/>
          </w:tcPr>
          <w:p>
            <w:r>
              <w:rPr>
                <w:rFonts w:ascii="Times New Roman" w:hAnsi="Times New Roman"/>
                <w:sz w:val="18"/>
              </w:rPr>
              <w:t>20% benzocaine gel</w:t>
            </w:r>
          </w:p>
        </w:tc>
        <w:tc>
          <w:tcPr>
            <w:tcW w:type="dxa" w:w="1440"/>
          </w:tcPr>
          <w:p>
            <w:r>
              <w:rPr>
                <w:rFonts w:ascii="Times New Roman" w:hAnsi="Times New Roman"/>
                <w:sz w:val="18"/>
              </w:rPr>
              <w:t>Non-inferior</w:t>
            </w:r>
          </w:p>
        </w:tc>
      </w:tr>
      <w:tr>
        <w:tc>
          <w:tcPr>
            <w:tcW w:type="dxa" w:w="1440"/>
          </w:tcPr>
          <w:p>
            <w:r>
              <w:rPr>
                <w:rFonts w:ascii="Times New Roman" w:hAnsi="Times New Roman"/>
                <w:sz w:val="18"/>
              </w:rPr>
              <w:t>Peedikayil et al. 2024</w:t>
            </w:r>
          </w:p>
        </w:tc>
        <w:tc>
          <w:tcPr>
            <w:tcW w:type="dxa" w:w="1440"/>
          </w:tcPr>
          <w:p>
            <w:r>
              <w:rPr>
                <w:rFonts w:ascii="Times New Roman" w:hAnsi="Times New Roman"/>
                <w:sz w:val="18"/>
              </w:rPr>
              <w:t>RCT (split-mouth)</w:t>
            </w:r>
          </w:p>
        </w:tc>
        <w:tc>
          <w:tcPr>
            <w:tcW w:type="dxa" w:w="1440"/>
          </w:tcPr>
          <w:p>
            <w:r>
              <w:rPr>
                <w:rFonts w:ascii="Times New Roman" w:hAnsi="Times New Roman"/>
                <w:sz w:val="18"/>
              </w:rPr>
              <w:t>28</w:t>
            </w:r>
          </w:p>
        </w:tc>
        <w:tc>
          <w:tcPr>
            <w:tcW w:type="dxa" w:w="1440"/>
          </w:tcPr>
          <w:p>
            <w:r>
              <w:rPr>
                <w:rFonts w:ascii="Times New Roman" w:hAnsi="Times New Roman"/>
                <w:sz w:val="18"/>
              </w:rPr>
              <w:t>Cryo spray + IANB</w:t>
            </w:r>
          </w:p>
        </w:tc>
        <w:tc>
          <w:tcPr>
            <w:tcW w:type="dxa" w:w="1440"/>
          </w:tcPr>
          <w:p>
            <w:r>
              <w:rPr>
                <w:rFonts w:ascii="Times New Roman" w:hAnsi="Times New Roman"/>
                <w:sz w:val="18"/>
              </w:rPr>
              <w:t>IANB alone</w:t>
            </w:r>
          </w:p>
        </w:tc>
        <w:tc>
          <w:tcPr>
            <w:tcW w:type="dxa" w:w="1440"/>
          </w:tcPr>
          <w:p>
            <w:r>
              <w:rPr>
                <w:rFonts w:ascii="Times New Roman" w:hAnsi="Times New Roman"/>
                <w:sz w:val="18"/>
              </w:rPr>
              <w:t>Adjunct superior</w:t>
            </w:r>
          </w:p>
        </w:tc>
      </w:tr>
      <w:tr>
        <w:tc>
          <w:tcPr>
            <w:tcW w:type="dxa" w:w="1440"/>
          </w:tcPr>
          <w:p>
            <w:r>
              <w:rPr>
                <w:rFonts w:ascii="Times New Roman" w:hAnsi="Times New Roman"/>
                <w:sz w:val="18"/>
              </w:rPr>
              <w:t>Sci Rep 2025</w:t>
            </w:r>
          </w:p>
        </w:tc>
        <w:tc>
          <w:tcPr>
            <w:tcW w:type="dxa" w:w="1440"/>
          </w:tcPr>
          <w:p>
            <w:r>
              <w:rPr>
                <w:rFonts w:ascii="Times New Roman" w:hAnsi="Times New Roman"/>
                <w:sz w:val="18"/>
              </w:rPr>
              <w:t>RCT (double-blind)</w:t>
            </w:r>
          </w:p>
        </w:tc>
        <w:tc>
          <w:tcPr>
            <w:tcW w:type="dxa" w:w="1440"/>
          </w:tcPr>
          <w:p>
            <w:r>
              <w:rPr>
                <w:rFonts w:ascii="Times New Roman" w:hAnsi="Times New Roman"/>
                <w:sz w:val="18"/>
              </w:rPr>
              <w:t>40</w:t>
            </w:r>
          </w:p>
        </w:tc>
        <w:tc>
          <w:tcPr>
            <w:tcW w:type="dxa" w:w="1440"/>
          </w:tcPr>
          <w:p>
            <w:r>
              <w:rPr>
                <w:rFonts w:ascii="Times New Roman" w:hAnsi="Times New Roman"/>
                <w:sz w:val="18"/>
              </w:rPr>
              <w:t>Cooled LA (4-5°C)</w:t>
            </w:r>
          </w:p>
        </w:tc>
        <w:tc>
          <w:tcPr>
            <w:tcW w:type="dxa" w:w="1440"/>
          </w:tcPr>
          <w:p>
            <w:r>
              <w:rPr>
                <w:rFonts w:ascii="Times New Roman" w:hAnsi="Times New Roman"/>
                <w:sz w:val="18"/>
              </w:rPr>
              <w:t>Room-temp LA</w:t>
            </w:r>
          </w:p>
        </w:tc>
        <w:tc>
          <w:tcPr>
            <w:tcW w:type="dxa" w:w="1440"/>
          </w:tcPr>
          <w:p>
            <w:r>
              <w:rPr>
                <w:rFonts w:ascii="Times New Roman" w:hAnsi="Times New Roman"/>
                <w:sz w:val="18"/>
              </w:rPr>
              <w:t>100% vs 80% success (P&lt;0.001)</w:t>
            </w:r>
          </w:p>
        </w:tc>
      </w:tr>
      <w:tr>
        <w:tc>
          <w:tcPr>
            <w:tcW w:type="dxa" w:w="1440"/>
          </w:tcPr>
          <w:p>
            <w:r>
              <w:rPr>
                <w:rFonts w:ascii="Times New Roman" w:hAnsi="Times New Roman"/>
                <w:sz w:val="18"/>
              </w:rPr>
              <w:t>Tirupathi &amp; Rajasekhar 2020</w:t>
            </w:r>
          </w:p>
        </w:tc>
        <w:tc>
          <w:tcPr>
            <w:tcW w:type="dxa" w:w="1440"/>
          </w:tcPr>
          <w:p>
            <w:r>
              <w:rPr>
                <w:rFonts w:ascii="Times New Roman" w:hAnsi="Times New Roman"/>
                <w:sz w:val="18"/>
              </w:rPr>
              <w:t>SR</w:t>
            </w:r>
          </w:p>
        </w:tc>
        <w:tc>
          <w:tcPr>
            <w:tcW w:type="dxa" w:w="1440"/>
          </w:tcPr>
          <w:p>
            <w:r>
              <w:rPr>
                <w:rFonts w:ascii="Times New Roman" w:hAnsi="Times New Roman"/>
                <w:sz w:val="18"/>
              </w:rPr>
              <w:t>6 studies</w:t>
            </w:r>
          </w:p>
        </w:tc>
        <w:tc>
          <w:tcPr>
            <w:tcW w:type="dxa" w:w="1440"/>
          </w:tcPr>
          <w:p>
            <w:r>
              <w:rPr>
                <w:rFonts w:ascii="Times New Roman" w:hAnsi="Times New Roman"/>
                <w:sz w:val="18"/>
              </w:rPr>
              <w:t>Ice/pre-cooling</w:t>
            </w:r>
          </w:p>
        </w:tc>
        <w:tc>
          <w:tcPr>
            <w:tcW w:type="dxa" w:w="1440"/>
          </w:tcPr>
          <w:p>
            <w:r>
              <w:rPr>
                <w:rFonts w:ascii="Times New Roman" w:hAnsi="Times New Roman"/>
                <w:sz w:val="18"/>
              </w:rPr>
              <w:t>Topical anaesthetics</w:t>
            </w:r>
          </w:p>
        </w:tc>
        <w:tc>
          <w:tcPr>
            <w:tcW w:type="dxa" w:w="1440"/>
          </w:tcPr>
          <w:p>
            <w:r>
              <w:rPr>
                <w:rFonts w:ascii="Times New Roman" w:hAnsi="Times New Roman"/>
                <w:sz w:val="18"/>
              </w:rPr>
              <w:t>4/5 favoured pre-cooling</w:t>
            </w:r>
          </w:p>
        </w:tc>
      </w:tr>
      <w:tr>
        <w:tc>
          <w:tcPr>
            <w:tcW w:type="dxa" w:w="1440"/>
          </w:tcPr>
          <w:p>
            <w:r>
              <w:rPr>
                <w:rFonts w:ascii="Times New Roman" w:hAnsi="Times New Roman"/>
                <w:sz w:val="18"/>
              </w:rPr>
              <w:t>Amrollahi et al. 2021</w:t>
            </w:r>
          </w:p>
        </w:tc>
        <w:tc>
          <w:tcPr>
            <w:tcW w:type="dxa" w:w="1440"/>
          </w:tcPr>
          <w:p>
            <w:r>
              <w:rPr>
                <w:rFonts w:ascii="Times New Roman" w:hAnsi="Times New Roman"/>
                <w:sz w:val="18"/>
              </w:rPr>
              <w:t>SR</w:t>
            </w:r>
          </w:p>
        </w:tc>
        <w:tc>
          <w:tcPr>
            <w:tcW w:type="dxa" w:w="1440"/>
          </w:tcPr>
          <w:p>
            <w:r>
              <w:rPr>
                <w:rFonts w:ascii="Times New Roman" w:hAnsi="Times New Roman"/>
                <w:sz w:val="18"/>
              </w:rPr>
              <w:t>Multiple</w:t>
            </w:r>
          </w:p>
        </w:tc>
        <w:tc>
          <w:tcPr>
            <w:tcW w:type="dxa" w:w="1440"/>
          </w:tcPr>
          <w:p>
            <w:r>
              <w:rPr>
                <w:rFonts w:ascii="Times New Roman" w:hAnsi="Times New Roman"/>
                <w:sz w:val="18"/>
              </w:rPr>
              <w:t>Pre-cooling</w:t>
            </w:r>
          </w:p>
        </w:tc>
        <w:tc>
          <w:tcPr>
            <w:tcW w:type="dxa" w:w="1440"/>
          </w:tcPr>
          <w:p>
            <w:r>
              <w:rPr>
                <w:rFonts w:ascii="Times New Roman" w:hAnsi="Times New Roman"/>
                <w:sz w:val="18"/>
              </w:rPr>
              <w:t>Topical anaesthetics</w:t>
            </w:r>
          </w:p>
        </w:tc>
        <w:tc>
          <w:tcPr>
            <w:tcW w:type="dxa" w:w="1440"/>
          </w:tcPr>
          <w:p>
            <w:r>
              <w:rPr>
                <w:rFonts w:ascii="Times New Roman" w:hAnsi="Times New Roman"/>
                <w:sz w:val="18"/>
              </w:rPr>
              <w:t>Supports pre-cooling</w:t>
            </w:r>
          </w:p>
        </w:tc>
      </w:tr>
      <w:tr>
        <w:tc>
          <w:tcPr>
            <w:tcW w:type="dxa" w:w="1440"/>
          </w:tcPr>
          <w:p>
            <w:r>
              <w:rPr>
                <w:rFonts w:ascii="Times New Roman" w:hAnsi="Times New Roman"/>
                <w:sz w:val="18"/>
              </w:rPr>
              <w:t>Honaje et al. 2024</w:t>
            </w:r>
          </w:p>
        </w:tc>
        <w:tc>
          <w:tcPr>
            <w:tcW w:type="dxa" w:w="1440"/>
          </w:tcPr>
          <w:p>
            <w:r>
              <w:rPr>
                <w:rFonts w:ascii="Times New Roman" w:hAnsi="Times New Roman"/>
                <w:sz w:val="18"/>
              </w:rPr>
              <w:t>SR/MA</w:t>
            </w:r>
          </w:p>
        </w:tc>
        <w:tc>
          <w:tcPr>
            <w:tcW w:type="dxa" w:w="1440"/>
          </w:tcPr>
          <w:p>
            <w:r>
              <w:rPr>
                <w:rFonts w:ascii="Times New Roman" w:hAnsi="Times New Roman"/>
                <w:sz w:val="18"/>
              </w:rPr>
              <w:t>8 studies</w:t>
            </w:r>
          </w:p>
        </w:tc>
        <w:tc>
          <w:tcPr>
            <w:tcW w:type="dxa" w:w="1440"/>
          </w:tcPr>
          <w:p>
            <w:r>
              <w:rPr>
                <w:rFonts w:ascii="Times New Roman" w:hAnsi="Times New Roman"/>
                <w:sz w:val="18"/>
              </w:rPr>
              <w:t>Ice</w:t>
            </w:r>
          </w:p>
        </w:tc>
        <w:tc>
          <w:tcPr>
            <w:tcW w:type="dxa" w:w="1440"/>
          </w:tcPr>
          <w:p>
            <w:r>
              <w:rPr>
                <w:rFonts w:ascii="Times New Roman" w:hAnsi="Times New Roman"/>
                <w:sz w:val="18"/>
              </w:rPr>
              <w:t>Topical gel</w:t>
            </w:r>
          </w:p>
        </w:tc>
        <w:tc>
          <w:tcPr>
            <w:tcW w:type="dxa" w:w="1440"/>
          </w:tcPr>
          <w:p>
            <w:r>
              <w:rPr>
                <w:rFonts w:ascii="Times New Roman" w:hAnsi="Times New Roman"/>
                <w:sz w:val="18"/>
              </w:rPr>
              <w:t>Pooled: equivalent</w:t>
            </w:r>
          </w:p>
        </w:tc>
      </w:tr>
      <w:tr>
        <w:tc>
          <w:tcPr>
            <w:tcW w:type="dxa" w:w="1440"/>
          </w:tcPr>
          <w:p>
            <w:r>
              <w:rPr>
                <w:rFonts w:ascii="Times New Roman" w:hAnsi="Times New Roman"/>
                <w:sz w:val="18"/>
              </w:rPr>
              <w:t>Lakhani et al. 2023</w:t>
            </w:r>
          </w:p>
        </w:tc>
        <w:tc>
          <w:tcPr>
            <w:tcW w:type="dxa" w:w="1440"/>
          </w:tcPr>
          <w:p>
            <w:r>
              <w:rPr>
                <w:rFonts w:ascii="Times New Roman" w:hAnsi="Times New Roman"/>
                <w:sz w:val="18"/>
              </w:rPr>
              <w:t>RCT (split-mouth)</w:t>
            </w:r>
          </w:p>
        </w:tc>
        <w:tc>
          <w:tcPr>
            <w:tcW w:type="dxa" w:w="1440"/>
          </w:tcPr>
          <w:p>
            <w:r>
              <w:rPr>
                <w:rFonts w:ascii="Times New Roman" w:hAnsi="Times New Roman"/>
                <w:sz w:val="18"/>
              </w:rPr>
              <w:t>44</w:t>
            </w:r>
          </w:p>
        </w:tc>
        <w:tc>
          <w:tcPr>
            <w:tcW w:type="dxa" w:w="1440"/>
          </w:tcPr>
          <w:p>
            <w:r>
              <w:rPr>
                <w:rFonts w:ascii="Times New Roman" w:hAnsi="Times New Roman"/>
                <w:sz w:val="18"/>
              </w:rPr>
              <w:t>Distant cold (ice bath)</w:t>
            </w:r>
          </w:p>
        </w:tc>
        <w:tc>
          <w:tcPr>
            <w:tcW w:type="dxa" w:w="1440"/>
          </w:tcPr>
          <w:p>
            <w:r>
              <w:rPr>
                <w:rFonts w:ascii="Times New Roman" w:hAnsi="Times New Roman"/>
                <w:sz w:val="18"/>
              </w:rPr>
              <w:t>No pre-treatment</w:t>
            </w:r>
          </w:p>
        </w:tc>
        <w:tc>
          <w:tcPr>
            <w:tcW w:type="dxa" w:w="1440"/>
          </w:tcPr>
          <w:p>
            <w:r>
              <w:rPr>
                <w:rFonts w:ascii="Times New Roman" w:hAnsi="Times New Roman"/>
                <w:sz w:val="18"/>
              </w:rPr>
              <w:t>Reduced pain</w:t>
            </w:r>
          </w:p>
        </w:tc>
      </w:tr>
    </w:tbl>
    <w:p/>
    <w:p>
      <w:pPr>
        <w:pStyle w:val="Heading2"/>
      </w:pPr>
      <w:r>
        <w:rPr>
          <w:color w:val="000000"/>
        </w:rPr>
        <w:t>Table 3. Proposed tiered framework for cryoanalgesia implementation during local anaesthetic shortages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Tier</w:t>
            </w:r>
          </w:p>
        </w:tc>
        <w:tc>
          <w:tcPr>
            <w:tcW w:type="dxa" w:w="1728"/>
          </w:tcPr>
          <w:p>
            <w:r>
              <w:rPr>
                <w:rFonts w:ascii="Times New Roman" w:hAnsi="Times New Roman"/>
                <w:b/>
                <w:sz w:val="18"/>
              </w:rPr>
              <w:t>Clinical application</w:t>
            </w:r>
          </w:p>
        </w:tc>
        <w:tc>
          <w:tcPr>
            <w:tcW w:type="dxa" w:w="1728"/>
          </w:tcPr>
          <w:p>
            <w:r>
              <w:rPr>
                <w:rFonts w:ascii="Times New Roman" w:hAnsi="Times New Roman"/>
                <w:b/>
                <w:sz w:val="18"/>
              </w:rPr>
              <w:t>Modality</w:t>
            </w:r>
          </w:p>
        </w:tc>
        <w:tc>
          <w:tcPr>
            <w:tcW w:type="dxa" w:w="1728"/>
          </w:tcPr>
          <w:p>
            <w:r>
              <w:rPr>
                <w:rFonts w:ascii="Times New Roman" w:hAnsi="Times New Roman"/>
                <w:b/>
                <w:sz w:val="18"/>
              </w:rPr>
              <w:t>Evidence level</w:t>
            </w:r>
          </w:p>
        </w:tc>
        <w:tc>
          <w:tcPr>
            <w:tcW w:type="dxa" w:w="1728"/>
          </w:tcPr>
          <w:p>
            <w:r>
              <w:rPr>
                <w:rFonts w:ascii="Times New Roman" w:hAnsi="Times New Roman"/>
                <w:b/>
                <w:sz w:val="18"/>
              </w:rPr>
              <w:t>Readiness</w:t>
            </w:r>
          </w:p>
        </w:tc>
      </w:tr>
      <w:tr>
        <w:tc>
          <w:tcPr>
            <w:tcW w:type="dxa" w:w="1728"/>
          </w:tcPr>
          <w:p>
            <w:r>
              <w:rPr>
                <w:rFonts w:ascii="Times New Roman" w:hAnsi="Times New Roman"/>
                <w:sz w:val="18"/>
              </w:rPr>
              <w:t>1 (Strong)</w:t>
            </w:r>
          </w:p>
        </w:tc>
        <w:tc>
          <w:tcPr>
            <w:tcW w:type="dxa" w:w="1728"/>
          </w:tcPr>
          <w:p>
            <w:r>
              <w:rPr>
                <w:rFonts w:ascii="Times New Roman" w:hAnsi="Times New Roman"/>
                <w:sz w:val="18"/>
              </w:rPr>
              <w:t>Dental pre-injection analgesia</w:t>
            </w:r>
          </w:p>
        </w:tc>
        <w:tc>
          <w:tcPr>
            <w:tcW w:type="dxa" w:w="1728"/>
          </w:tcPr>
          <w:p>
            <w:r>
              <w:rPr>
                <w:rFonts w:ascii="Times New Roman" w:hAnsi="Times New Roman"/>
                <w:sz w:val="18"/>
              </w:rPr>
              <w:t>Ice application (2 min)</w:t>
            </w:r>
          </w:p>
        </w:tc>
        <w:tc>
          <w:tcPr>
            <w:tcW w:type="dxa" w:w="1728"/>
          </w:tcPr>
          <w:p>
            <w:r>
              <w:rPr>
                <w:rFonts w:ascii="Times New Roman" w:hAnsi="Times New Roman"/>
                <w:sz w:val="18"/>
              </w:rPr>
              <w:t>Multiple RCTs, 3 SRs; non-inferior to topical LA</w:t>
            </w:r>
          </w:p>
        </w:tc>
        <w:tc>
          <w:tcPr>
            <w:tcW w:type="dxa" w:w="1728"/>
          </w:tcPr>
          <w:p>
            <w:r>
              <w:rPr>
                <w:rFonts w:ascii="Times New Roman" w:hAnsi="Times New Roman"/>
                <w:sz w:val="18"/>
              </w:rPr>
              <w:t>Immediate; no special equipment</w:t>
            </w:r>
          </w:p>
        </w:tc>
      </w:tr>
      <w:tr>
        <w:tc>
          <w:tcPr>
            <w:tcW w:type="dxa" w:w="1728"/>
          </w:tcPr>
          <w:p>
            <w:r>
              <w:rPr>
                <w:rFonts w:ascii="Times New Roman" w:hAnsi="Times New Roman"/>
                <w:sz w:val="18"/>
              </w:rPr>
              <w:t>1 (Strong)</w:t>
            </w:r>
          </w:p>
        </w:tc>
        <w:tc>
          <w:tcPr>
            <w:tcW w:type="dxa" w:w="1728"/>
          </w:tcPr>
          <w:p>
            <w:r>
              <w:rPr>
                <w:rFonts w:ascii="Times New Roman" w:hAnsi="Times New Roman"/>
                <w:sz w:val="18"/>
              </w:rPr>
              <w:t>Adult venepuncture/IV cannulation</w:t>
            </w:r>
          </w:p>
        </w:tc>
        <w:tc>
          <w:tcPr>
            <w:tcW w:type="dxa" w:w="1728"/>
          </w:tcPr>
          <w:p>
            <w:r>
              <w:rPr>
                <w:rFonts w:ascii="Times New Roman" w:hAnsi="Times New Roman"/>
                <w:sz w:val="18"/>
              </w:rPr>
              <w:t>Vapocoolant spray</w:t>
            </w:r>
          </w:p>
        </w:tc>
        <w:tc>
          <w:tcPr>
            <w:tcW w:type="dxa" w:w="1728"/>
          </w:tcPr>
          <w:p>
            <w:r>
              <w:rPr>
                <w:rFonts w:ascii="Times New Roman" w:hAnsi="Times New Roman"/>
                <w:sz w:val="18"/>
              </w:rPr>
              <w:t>SR/MA (25 RCTs); effective in adults</w:t>
            </w:r>
          </w:p>
        </w:tc>
        <w:tc>
          <w:tcPr>
            <w:tcW w:type="dxa" w:w="1728"/>
          </w:tcPr>
          <w:p>
            <w:r>
              <w:rPr>
                <w:rFonts w:ascii="Times New Roman" w:hAnsi="Times New Roman"/>
                <w:sz w:val="18"/>
              </w:rPr>
              <w:t>Immediate; widely available</w:t>
            </w:r>
          </w:p>
        </w:tc>
      </w:tr>
      <w:tr>
        <w:tc>
          <w:tcPr>
            <w:tcW w:type="dxa" w:w="1728"/>
          </w:tcPr>
          <w:p>
            <w:r>
              <w:rPr>
                <w:rFonts w:ascii="Times New Roman" w:hAnsi="Times New Roman"/>
                <w:sz w:val="18"/>
              </w:rPr>
              <w:t>2 (Moderate)</w:t>
            </w:r>
          </w:p>
        </w:tc>
        <w:tc>
          <w:tcPr>
            <w:tcW w:type="dxa" w:w="1728"/>
          </w:tcPr>
          <w:p>
            <w:r>
              <w:rPr>
                <w:rFonts w:ascii="Times New Roman" w:hAnsi="Times New Roman"/>
                <w:sz w:val="18"/>
              </w:rPr>
              <w:t>Laser hair removal/dermatology</w:t>
            </w:r>
          </w:p>
        </w:tc>
        <w:tc>
          <w:tcPr>
            <w:tcW w:type="dxa" w:w="1728"/>
          </w:tcPr>
          <w:p>
            <w:r>
              <w:rPr>
                <w:rFonts w:ascii="Times New Roman" w:hAnsi="Times New Roman"/>
                <w:sz w:val="18"/>
              </w:rPr>
              <w:t>Ice packs</w:t>
            </w:r>
          </w:p>
        </w:tc>
        <w:tc>
          <w:tcPr>
            <w:tcW w:type="dxa" w:w="1728"/>
          </w:tcPr>
          <w:p>
            <w:r>
              <w:rPr>
                <w:rFonts w:ascii="Times New Roman" w:hAnsi="Times New Roman"/>
                <w:sz w:val="18"/>
              </w:rPr>
              <w:t>1 RCT; comparable to EMLA</w:t>
            </w:r>
          </w:p>
        </w:tc>
        <w:tc>
          <w:tcPr>
            <w:tcW w:type="dxa" w:w="1728"/>
          </w:tcPr>
          <w:p>
            <w:r>
              <w:rPr>
                <w:rFonts w:ascii="Times New Roman" w:hAnsi="Times New Roman"/>
                <w:sz w:val="18"/>
              </w:rPr>
              <w:t>Feasible; requires validation</w:t>
            </w:r>
          </w:p>
        </w:tc>
      </w:tr>
      <w:tr>
        <w:tc>
          <w:tcPr>
            <w:tcW w:type="dxa" w:w="1728"/>
          </w:tcPr>
          <w:p>
            <w:r>
              <w:rPr>
                <w:rFonts w:ascii="Times New Roman" w:hAnsi="Times New Roman"/>
                <w:sz w:val="18"/>
              </w:rPr>
              <w:t>2 (Moderate)</w:t>
            </w:r>
          </w:p>
        </w:tc>
        <w:tc>
          <w:tcPr>
            <w:tcW w:type="dxa" w:w="1728"/>
          </w:tcPr>
          <w:p>
            <w:r>
              <w:rPr>
                <w:rFonts w:ascii="Times New Roman" w:hAnsi="Times New Roman"/>
                <w:sz w:val="18"/>
              </w:rPr>
              <w:t>Post-thoracotomy/VATS analgesia</w:t>
            </w:r>
          </w:p>
        </w:tc>
        <w:tc>
          <w:tcPr>
            <w:tcW w:type="dxa" w:w="1728"/>
          </w:tcPr>
          <w:p>
            <w:r>
              <w:rPr>
                <w:rFonts w:ascii="Times New Roman" w:hAnsi="Times New Roman"/>
                <w:sz w:val="18"/>
              </w:rPr>
              <w:t>Intercostal cryoneurolysis</w:t>
            </w:r>
          </w:p>
        </w:tc>
        <w:tc>
          <w:tcPr>
            <w:tcW w:type="dxa" w:w="1728"/>
          </w:tcPr>
          <w:p>
            <w:r>
              <w:rPr>
                <w:rFonts w:ascii="Times New Roman" w:hAnsi="Times New Roman"/>
                <w:sz w:val="18"/>
              </w:rPr>
              <w:t>2 SRs, 4 RCTs; reduces opioid use</w:t>
            </w:r>
          </w:p>
        </w:tc>
        <w:tc>
          <w:tcPr>
            <w:tcW w:type="dxa" w:w="1728"/>
          </w:tcPr>
          <w:p>
            <w:r>
              <w:rPr>
                <w:rFonts w:ascii="Times New Roman" w:hAnsi="Times New Roman"/>
                <w:sz w:val="18"/>
              </w:rPr>
              <w:t>Equipment-dependent</w:t>
            </w:r>
          </w:p>
        </w:tc>
      </w:tr>
      <w:tr>
        <w:tc>
          <w:tcPr>
            <w:tcW w:type="dxa" w:w="1728"/>
          </w:tcPr>
          <w:p>
            <w:r>
              <w:rPr>
                <w:rFonts w:ascii="Times New Roman" w:hAnsi="Times New Roman"/>
                <w:sz w:val="18"/>
              </w:rPr>
              <w:t>3 (Research)</w:t>
            </w:r>
          </w:p>
        </w:tc>
        <w:tc>
          <w:tcPr>
            <w:tcW w:type="dxa" w:w="1728"/>
          </w:tcPr>
          <w:p>
            <w:r>
              <w:rPr>
                <w:rFonts w:ascii="Times New Roman" w:hAnsi="Times New Roman"/>
                <w:sz w:val="18"/>
              </w:rPr>
              <w:t>Peripheral nerve block alternative</w:t>
            </w:r>
          </w:p>
        </w:tc>
        <w:tc>
          <w:tcPr>
            <w:tcW w:type="dxa" w:w="1728"/>
          </w:tcPr>
          <w:p>
            <w:r>
              <w:rPr>
                <w:rFonts w:ascii="Times New Roman" w:hAnsi="Times New Roman"/>
                <w:sz w:val="18"/>
              </w:rPr>
              <w:t>Percutaneous cryoneurolysis</w:t>
            </w:r>
          </w:p>
        </w:tc>
        <w:tc>
          <w:tcPr>
            <w:tcW w:type="dxa" w:w="1728"/>
          </w:tcPr>
          <w:p>
            <w:r>
              <w:rPr>
                <w:rFonts w:ascii="Times New Roman" w:hAnsi="Times New Roman"/>
                <w:sz w:val="18"/>
              </w:rPr>
              <w:t>2 pilot RCTs; promising but limited</w:t>
            </w:r>
          </w:p>
        </w:tc>
        <w:tc>
          <w:tcPr>
            <w:tcW w:type="dxa" w:w="1728"/>
          </w:tcPr>
          <w:p>
            <w:r>
              <w:rPr>
                <w:rFonts w:ascii="Times New Roman" w:hAnsi="Times New Roman"/>
                <w:sz w:val="18"/>
              </w:rPr>
              <w:t>Requires US guidance, training</w:t>
            </w:r>
          </w:p>
        </w:tc>
      </w:tr>
      <w:tr>
        <w:tc>
          <w:tcPr>
            <w:tcW w:type="dxa" w:w="1728"/>
          </w:tcPr>
          <w:p>
            <w:r>
              <w:rPr>
                <w:rFonts w:ascii="Times New Roman" w:hAnsi="Times New Roman"/>
                <w:sz w:val="18"/>
              </w:rPr>
              <w:t>3 (Research)</w:t>
            </w:r>
          </w:p>
        </w:tc>
        <w:tc>
          <w:tcPr>
            <w:tcW w:type="dxa" w:w="1728"/>
          </w:tcPr>
          <w:p>
            <w:r>
              <w:rPr>
                <w:rFonts w:ascii="Times New Roman" w:hAnsi="Times New Roman"/>
                <w:sz w:val="18"/>
              </w:rPr>
              <w:t>Minor surgical procedures</w:t>
            </w:r>
          </w:p>
        </w:tc>
        <w:tc>
          <w:tcPr>
            <w:tcW w:type="dxa" w:w="1728"/>
          </w:tcPr>
          <w:p>
            <w:r>
              <w:rPr>
                <w:rFonts w:ascii="Times New Roman" w:hAnsi="Times New Roman"/>
                <w:sz w:val="18"/>
              </w:rPr>
              <w:t>Ice/vapocoolant spray</w:t>
            </w:r>
          </w:p>
        </w:tc>
        <w:tc>
          <w:tcPr>
            <w:tcW w:type="dxa" w:w="1728"/>
          </w:tcPr>
          <w:p>
            <w:r>
              <w:rPr>
                <w:rFonts w:ascii="Times New Roman" w:hAnsi="Times New Roman"/>
                <w:sz w:val="18"/>
              </w:rPr>
              <w:t>No direct evidence</w:t>
            </w:r>
          </w:p>
        </w:tc>
        <w:tc>
          <w:tcPr>
            <w:tcW w:type="dxa" w:w="1728"/>
          </w:tcPr>
          <w:p>
            <w:r>
              <w:rPr>
                <w:rFonts w:ascii="Times New Roman" w:hAnsi="Times New Roman"/>
                <w:sz w:val="18"/>
              </w:rPr>
              <w:t>Clinical trials needed</w:t>
            </w:r>
          </w:p>
        </w:tc>
      </w:tr>
    </w:tbl>
    <w:p/>
    <w:p>
      <w:pPr>
        <w:pStyle w:val="Heading2"/>
      </w:pPr>
      <w:r>
        <w:rPr>
          <w:color w:val="000000"/>
        </w:rPr>
        <w:t>Table 4. Target journal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Journal</w:t>
            </w:r>
          </w:p>
        </w:tc>
        <w:tc>
          <w:tcPr>
            <w:tcW w:type="dxa" w:w="1440"/>
          </w:tcPr>
          <w:p>
            <w:r>
              <w:rPr>
                <w:rFonts w:ascii="Times New Roman" w:hAnsi="Times New Roman"/>
                <w:b/>
                <w:sz w:val="18"/>
              </w:rPr>
              <w:t>IF</w:t>
            </w:r>
          </w:p>
        </w:tc>
        <w:tc>
          <w:tcPr>
            <w:tcW w:type="dxa" w:w="1440"/>
          </w:tcPr>
          <w:p>
            <w:r>
              <w:rPr>
                <w:rFonts w:ascii="Times New Roman" w:hAnsi="Times New Roman"/>
                <w:b/>
                <w:sz w:val="18"/>
              </w:rPr>
              <w:t>Word limit</w:t>
            </w:r>
          </w:p>
        </w:tc>
        <w:tc>
          <w:tcPr>
            <w:tcW w:type="dxa" w:w="1440"/>
          </w:tcPr>
          <w:p>
            <w:r>
              <w:rPr>
                <w:rFonts w:ascii="Times New Roman" w:hAnsi="Times New Roman"/>
                <w:b/>
                <w:sz w:val="18"/>
              </w:rPr>
              <w:t>Ref limit</w:t>
            </w:r>
          </w:p>
        </w:tc>
        <w:tc>
          <w:tcPr>
            <w:tcW w:type="dxa" w:w="1440"/>
          </w:tcPr>
          <w:p>
            <w:r>
              <w:rPr>
                <w:rFonts w:ascii="Times New Roman" w:hAnsi="Times New Roman"/>
                <w:b/>
                <w:sz w:val="18"/>
              </w:rPr>
              <w:t>Scope fit</w:t>
            </w:r>
          </w:p>
        </w:tc>
        <w:tc>
          <w:tcPr>
            <w:tcW w:type="dxa" w:w="1440"/>
          </w:tcPr>
          <w:p>
            <w:r>
              <w:rPr>
                <w:rFonts w:ascii="Times New Roman" w:hAnsi="Times New Roman"/>
                <w:b/>
                <w:sz w:val="18"/>
              </w:rPr>
              <w:t>APC (USD)</w:t>
            </w:r>
          </w:p>
        </w:tc>
      </w:tr>
      <w:tr>
        <w:tc>
          <w:tcPr>
            <w:tcW w:type="dxa" w:w="1440"/>
          </w:tcPr>
          <w:p>
            <w:r>
              <w:rPr>
                <w:rFonts w:ascii="Times New Roman" w:hAnsi="Times New Roman"/>
                <w:sz w:val="18"/>
              </w:rPr>
              <w:t>British Journal of Anaesthesia</w:t>
            </w:r>
          </w:p>
        </w:tc>
        <w:tc>
          <w:tcPr>
            <w:tcW w:type="dxa" w:w="1440"/>
          </w:tcPr>
          <w:p>
            <w:r>
              <w:rPr>
                <w:rFonts w:ascii="Times New Roman" w:hAnsi="Times New Roman"/>
                <w:sz w:val="18"/>
              </w:rPr>
              <w:t>9.2</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Direct (anaesthesia)</w:t>
            </w:r>
          </w:p>
        </w:tc>
        <w:tc>
          <w:tcPr>
            <w:tcW w:type="dxa" w:w="1440"/>
          </w:tcPr>
          <w:p>
            <w:r>
              <w:rPr>
                <w:rFonts w:ascii="Times New Roman" w:hAnsi="Times New Roman"/>
                <w:sz w:val="18"/>
              </w:rPr>
              <w:t>~3000</w:t>
            </w:r>
          </w:p>
        </w:tc>
      </w:tr>
      <w:tr>
        <w:tc>
          <w:tcPr>
            <w:tcW w:type="dxa" w:w="1440"/>
          </w:tcPr>
          <w:p>
            <w:r>
              <w:rPr>
                <w:rFonts w:ascii="Times New Roman" w:hAnsi="Times New Roman"/>
                <w:sz w:val="18"/>
              </w:rPr>
              <w:t>Anaesthesia</w:t>
            </w:r>
          </w:p>
        </w:tc>
        <w:tc>
          <w:tcPr>
            <w:tcW w:type="dxa" w:w="1440"/>
          </w:tcPr>
          <w:p>
            <w:r>
              <w:rPr>
                <w:rFonts w:ascii="Times New Roman" w:hAnsi="Times New Roman"/>
                <w:sz w:val="18"/>
              </w:rPr>
              <w:t>9.1</w:t>
            </w:r>
          </w:p>
        </w:tc>
        <w:tc>
          <w:tcPr>
            <w:tcW w:type="dxa" w:w="1440"/>
          </w:tcPr>
          <w:p>
            <w:r>
              <w:rPr>
                <w:rFonts w:ascii="Times New Roman" w:hAnsi="Times New Roman"/>
                <w:sz w:val="18"/>
              </w:rPr>
              <w:t>5000</w:t>
            </w:r>
          </w:p>
        </w:tc>
        <w:tc>
          <w:tcPr>
            <w:tcW w:type="dxa" w:w="1440"/>
          </w:tcPr>
          <w:p>
            <w:r>
              <w:rPr>
                <w:rFonts w:ascii="Times New Roman" w:hAnsi="Times New Roman"/>
                <w:sz w:val="18"/>
              </w:rPr>
              <w:t>100</w:t>
            </w:r>
          </w:p>
        </w:tc>
        <w:tc>
          <w:tcPr>
            <w:tcW w:type="dxa" w:w="1440"/>
          </w:tcPr>
          <w:p>
            <w:r>
              <w:rPr>
                <w:rFonts w:ascii="Times New Roman" w:hAnsi="Times New Roman"/>
                <w:sz w:val="18"/>
              </w:rPr>
              <w:t>Direct (anaesthesia)</w:t>
            </w:r>
          </w:p>
        </w:tc>
        <w:tc>
          <w:tcPr>
            <w:tcW w:type="dxa" w:w="1440"/>
          </w:tcPr>
          <w:p>
            <w:r>
              <w:rPr>
                <w:rFonts w:ascii="Times New Roman" w:hAnsi="Times New Roman"/>
                <w:sz w:val="18"/>
              </w:rPr>
              <w:t>~3200</w:t>
            </w:r>
          </w:p>
        </w:tc>
      </w:tr>
      <w:tr>
        <w:tc>
          <w:tcPr>
            <w:tcW w:type="dxa" w:w="1440"/>
          </w:tcPr>
          <w:p>
            <w:r>
              <w:rPr>
                <w:rFonts w:ascii="Times New Roman" w:hAnsi="Times New Roman"/>
                <w:sz w:val="18"/>
              </w:rPr>
              <w:t>BMJ</w:t>
            </w:r>
          </w:p>
        </w:tc>
        <w:tc>
          <w:tcPr>
            <w:tcW w:type="dxa" w:w="1440"/>
          </w:tcPr>
          <w:p>
            <w:r>
              <w:rPr>
                <w:rFonts w:ascii="Times New Roman" w:hAnsi="Times New Roman"/>
                <w:sz w:val="18"/>
              </w:rPr>
              <w:t>93.6</w:t>
            </w:r>
          </w:p>
        </w:tc>
        <w:tc>
          <w:tcPr>
            <w:tcW w:type="dxa" w:w="1440"/>
          </w:tcPr>
          <w:p>
            <w:r>
              <w:rPr>
                <w:rFonts w:ascii="Times New Roman" w:hAnsi="Times New Roman"/>
                <w:sz w:val="18"/>
              </w:rPr>
              <w:t>3000-4000</w:t>
            </w:r>
          </w:p>
        </w:tc>
        <w:tc>
          <w:tcPr>
            <w:tcW w:type="dxa" w:w="1440"/>
          </w:tcPr>
          <w:p>
            <w:r>
              <w:rPr>
                <w:rFonts w:ascii="Times New Roman" w:hAnsi="Times New Roman"/>
                <w:sz w:val="18"/>
              </w:rPr>
              <w:t>30-40</w:t>
            </w:r>
          </w:p>
        </w:tc>
        <w:tc>
          <w:tcPr>
            <w:tcW w:type="dxa" w:w="1440"/>
          </w:tcPr>
          <w:p>
            <w:r>
              <w:rPr>
                <w:rFonts w:ascii="Times New Roman" w:hAnsi="Times New Roman"/>
                <w:sz w:val="18"/>
              </w:rPr>
              <w:t>Health policy angle</w:t>
            </w:r>
          </w:p>
        </w:tc>
        <w:tc>
          <w:tcPr>
            <w:tcW w:type="dxa" w:w="1440"/>
          </w:tcPr>
          <w:p>
            <w:r>
              <w:rPr>
                <w:rFonts w:ascii="Times New Roman" w:hAnsi="Times New Roman"/>
                <w:sz w:val="18"/>
              </w:rPr>
              <w:t>~4500</w:t>
            </w:r>
          </w:p>
        </w:tc>
      </w:tr>
      <w:tr>
        <w:tc>
          <w:tcPr>
            <w:tcW w:type="dxa" w:w="1440"/>
          </w:tcPr>
          <w:p>
            <w:r>
              <w:rPr>
                <w:rFonts w:ascii="Times New Roman" w:hAnsi="Times New Roman"/>
                <w:sz w:val="18"/>
              </w:rPr>
              <w:t>BMJ Open</w:t>
            </w:r>
          </w:p>
        </w:tc>
        <w:tc>
          <w:tcPr>
            <w:tcW w:type="dxa" w:w="1440"/>
          </w:tcPr>
          <w:p>
            <w:r>
              <w:rPr>
                <w:rFonts w:ascii="Times New Roman" w:hAnsi="Times New Roman"/>
                <w:sz w:val="18"/>
              </w:rPr>
              <w:t>2.3</w:t>
            </w:r>
          </w:p>
        </w:tc>
        <w:tc>
          <w:tcPr>
            <w:tcW w:type="dxa" w:w="1440"/>
          </w:tcPr>
          <w:p>
            <w:r>
              <w:rPr>
                <w:rFonts w:ascii="Times New Roman" w:hAnsi="Times New Roman"/>
                <w:sz w:val="18"/>
              </w:rPr>
              <w:t>No limit</w:t>
            </w:r>
          </w:p>
        </w:tc>
        <w:tc>
          <w:tcPr>
            <w:tcW w:type="dxa" w:w="1440"/>
          </w:tcPr>
          <w:p>
            <w:r>
              <w:rPr>
                <w:rFonts w:ascii="Times New Roman" w:hAnsi="Times New Roman"/>
                <w:sz w:val="18"/>
              </w:rPr>
              <w:t>No limit</w:t>
            </w:r>
          </w:p>
        </w:tc>
        <w:tc>
          <w:tcPr>
            <w:tcW w:type="dxa" w:w="1440"/>
          </w:tcPr>
          <w:p>
            <w:r>
              <w:rPr>
                <w:rFonts w:ascii="Times New Roman" w:hAnsi="Times New Roman"/>
                <w:sz w:val="18"/>
              </w:rPr>
              <w:t>Broad medical</w:t>
            </w:r>
          </w:p>
        </w:tc>
        <w:tc>
          <w:tcPr>
            <w:tcW w:type="dxa" w:w="1440"/>
          </w:tcPr>
          <w:p>
            <w:r>
              <w:rPr>
                <w:rFonts w:ascii="Times New Roman" w:hAnsi="Times New Roman"/>
                <w:sz w:val="18"/>
              </w:rPr>
              <w:t>~2200</w:t>
            </w:r>
          </w:p>
        </w:tc>
      </w:tr>
      <w:tr>
        <w:tc>
          <w:tcPr>
            <w:tcW w:type="dxa" w:w="1440"/>
          </w:tcPr>
          <w:p>
            <w:r>
              <w:rPr>
                <w:rFonts w:ascii="Times New Roman" w:hAnsi="Times New Roman"/>
                <w:sz w:val="18"/>
              </w:rPr>
              <w:t>Anesthesiology</w:t>
            </w:r>
          </w:p>
        </w:tc>
        <w:tc>
          <w:tcPr>
            <w:tcW w:type="dxa" w:w="1440"/>
          </w:tcPr>
          <w:p>
            <w:r>
              <w:rPr>
                <w:rFonts w:ascii="Times New Roman" w:hAnsi="Times New Roman"/>
                <w:sz w:val="18"/>
              </w:rPr>
              <w:t>8.8</w:t>
            </w:r>
          </w:p>
        </w:tc>
        <w:tc>
          <w:tcPr>
            <w:tcW w:type="dxa" w:w="1440"/>
          </w:tcPr>
          <w:p>
            <w:r>
              <w:rPr>
                <w:rFonts w:ascii="Times New Roman" w:hAnsi="Times New Roman"/>
                <w:sz w:val="18"/>
              </w:rPr>
              <w:t>5000</w:t>
            </w:r>
          </w:p>
        </w:tc>
        <w:tc>
          <w:tcPr>
            <w:tcW w:type="dxa" w:w="1440"/>
          </w:tcPr>
          <w:p>
            <w:r>
              <w:rPr>
                <w:rFonts w:ascii="Times New Roman" w:hAnsi="Times New Roman"/>
                <w:sz w:val="18"/>
              </w:rPr>
              <w:t>150</w:t>
            </w:r>
          </w:p>
        </w:tc>
        <w:tc>
          <w:tcPr>
            <w:tcW w:type="dxa" w:w="1440"/>
          </w:tcPr>
          <w:p>
            <w:r>
              <w:rPr>
                <w:rFonts w:ascii="Times New Roman" w:hAnsi="Times New Roman"/>
                <w:sz w:val="18"/>
              </w:rPr>
              <w:t>Direct (anaesthesia)</w:t>
            </w:r>
          </w:p>
        </w:tc>
        <w:tc>
          <w:tcPr>
            <w:tcW w:type="dxa" w:w="1440"/>
          </w:tcPr>
          <w:p>
            <w:r>
              <w:rPr>
                <w:rFonts w:ascii="Times New Roman" w:hAnsi="Times New Roman"/>
                <w:sz w:val="18"/>
              </w:rPr>
              <w:t>~3000</w:t>
            </w:r>
          </w:p>
        </w:tc>
      </w:tr>
      <w:tr>
        <w:tc>
          <w:tcPr>
            <w:tcW w:type="dxa" w:w="1440"/>
          </w:tcPr>
          <w:p>
            <w:r>
              <w:rPr>
                <w:rFonts w:ascii="Times New Roman" w:hAnsi="Times New Roman"/>
                <w:sz w:val="18"/>
              </w:rPr>
              <w:t>RAPM</w:t>
            </w:r>
          </w:p>
        </w:tc>
        <w:tc>
          <w:tcPr>
            <w:tcW w:type="dxa" w:w="1440"/>
          </w:tcPr>
          <w:p>
            <w:r>
              <w:rPr>
                <w:rFonts w:ascii="Times New Roman" w:hAnsi="Times New Roman"/>
                <w:sz w:val="18"/>
              </w:rPr>
              <w:t>9.3</w:t>
            </w:r>
          </w:p>
        </w:tc>
        <w:tc>
          <w:tcPr>
            <w:tcW w:type="dxa" w:w="1440"/>
          </w:tcPr>
          <w:p>
            <w:r>
              <w:rPr>
                <w:rFonts w:ascii="Times New Roman" w:hAnsi="Times New Roman"/>
                <w:sz w:val="18"/>
              </w:rPr>
              <w:t>4000</w:t>
            </w:r>
          </w:p>
        </w:tc>
        <w:tc>
          <w:tcPr>
            <w:tcW w:type="dxa" w:w="1440"/>
          </w:tcPr>
          <w:p>
            <w:r>
              <w:rPr>
                <w:rFonts w:ascii="Times New Roman" w:hAnsi="Times New Roman"/>
                <w:sz w:val="18"/>
              </w:rPr>
              <w:t>60</w:t>
            </w:r>
          </w:p>
        </w:tc>
        <w:tc>
          <w:tcPr>
            <w:tcW w:type="dxa" w:w="1440"/>
          </w:tcPr>
          <w:p>
            <w:r>
              <w:rPr>
                <w:rFonts w:ascii="Times New Roman" w:hAnsi="Times New Roman"/>
                <w:sz w:val="18"/>
              </w:rPr>
              <w:t>Cryoneurolysis focus</w:t>
            </w:r>
          </w:p>
        </w:tc>
        <w:tc>
          <w:tcPr>
            <w:tcW w:type="dxa" w:w="1440"/>
          </w:tcPr>
          <w:p>
            <w:r>
              <w:rPr>
                <w:rFonts w:ascii="Times New Roman" w:hAnsi="Times New Roman"/>
                <w:sz w:val="18"/>
              </w:rPr>
              <w:t>~3500</w:t>
            </w:r>
          </w:p>
        </w:tc>
      </w:tr>
      <w:tr>
        <w:tc>
          <w:tcPr>
            <w:tcW w:type="dxa" w:w="1440"/>
          </w:tcPr>
          <w:p>
            <w:r>
              <w:rPr>
                <w:rFonts w:ascii="Times New Roman" w:hAnsi="Times New Roman"/>
                <w:sz w:val="18"/>
              </w:rPr>
              <w:t>Pharmacoepidemiol Drug Saf</w:t>
            </w:r>
          </w:p>
        </w:tc>
        <w:tc>
          <w:tcPr>
            <w:tcW w:type="dxa" w:w="1440"/>
          </w:tcPr>
          <w:p>
            <w:r>
              <w:rPr>
                <w:rFonts w:ascii="Times New Roman" w:hAnsi="Times New Roman"/>
                <w:sz w:val="18"/>
              </w:rPr>
              <w:t>3.2</w:t>
            </w:r>
          </w:p>
        </w:tc>
        <w:tc>
          <w:tcPr>
            <w:tcW w:type="dxa" w:w="1440"/>
          </w:tcPr>
          <w:p>
            <w:r>
              <w:rPr>
                <w:rFonts w:ascii="Times New Roman" w:hAnsi="Times New Roman"/>
                <w:sz w:val="18"/>
              </w:rPr>
              <w:t>4000</w:t>
            </w:r>
          </w:p>
        </w:tc>
        <w:tc>
          <w:tcPr>
            <w:tcW w:type="dxa" w:w="1440"/>
          </w:tcPr>
          <w:p>
            <w:r>
              <w:rPr>
                <w:rFonts w:ascii="Times New Roman" w:hAnsi="Times New Roman"/>
                <w:sz w:val="18"/>
              </w:rPr>
              <w:t>50</w:t>
            </w:r>
          </w:p>
        </w:tc>
        <w:tc>
          <w:tcPr>
            <w:tcW w:type="dxa" w:w="1440"/>
          </w:tcPr>
          <w:p>
            <w:r>
              <w:rPr>
                <w:rFonts w:ascii="Times New Roman" w:hAnsi="Times New Roman"/>
                <w:sz w:val="18"/>
              </w:rPr>
              <w:t>Supply chain focus</w:t>
            </w:r>
          </w:p>
        </w:tc>
        <w:tc>
          <w:tcPr>
            <w:tcW w:type="dxa" w:w="1440"/>
          </w:tcPr>
          <w:p>
            <w:r>
              <w:rPr>
                <w:rFonts w:ascii="Times New Roman" w:hAnsi="Times New Roman"/>
                <w:sz w:val="18"/>
              </w:rPr>
              <w:t>~2800</w:t>
            </w:r>
          </w:p>
        </w:tc>
      </w:tr>
    </w:tbl>
    <w:p>
      <w:r>
        <w:br w:type="page"/>
      </w:r>
    </w:p>
    <w:p>
      <w:pPr>
        <w:pStyle w:val="Heading1"/>
      </w:pPr>
      <w:r>
        <w:rPr>
          <w:color w:val="000000"/>
        </w:rPr>
        <w:t>Supplementary Material</w:t>
      </w:r>
    </w:p>
    <w:p>
      <w:pPr>
        <w:pStyle w:val="Heading2"/>
      </w:pPr>
      <w:r>
        <w:rPr>
          <w:color w:val="000000"/>
        </w:rPr>
        <w:t>Appendix 1: Full search strategy for MEDLINE (PubMed)</w:t>
      </w:r>
    </w:p>
    <w:p>
      <w:r>
        <w:rPr>
          <w:rFonts w:ascii="Times New Roman" w:hAnsi="Times New Roman"/>
          <w:b w:val="0"/>
          <w:i/>
          <w:sz w:val="24"/>
        </w:rPr>
        <w:t>#1  "cryoanalgesia"[MeSH Terms] OR "cryoanesthesia"[tiab] OR "cryoanaesthesia"[tiab] OR "cryoanalgesia"[tiab] OR "cryoneurolysis"[tiab] OR "cryoablation"[tiab] OR "vapocoolant"[tiab] OR "ethyl chloride spray"[tiab] OR "cold spray"[tiab] OR "ice application"[tiab] OR "precooling"[tiab] OR "pre-cooling"[tiab] OR "topical cooling"[tiab] OR "refrigerant spray"[tiab]</w:t>
      </w:r>
    </w:p>
    <w:p>
      <w:r>
        <w:rPr>
          <w:rFonts w:ascii="Times New Roman" w:hAnsi="Times New Roman"/>
          <w:b w:val="0"/>
          <w:i/>
          <w:sz w:val="24"/>
        </w:rPr>
        <w:t>#2  "anesthetics, local"[MeSH Terms] OR "local anesthetic*"[tiab] OR "local anaesthetic*"[tiab] OR "lidocaine"[tiab] OR "lignocaine"[tiab] OR "bupivacaine"[tiab] OR "ropivacaine"[tiab] OR "articaine"[tiab] OR "prilocaine"[tiab] OR "mepivacaine"[tiab] OR "benzocaine"[tiab] OR "EMLA"[tiab] OR "topical anesthetic"[tiab] OR "topical anaesthetic"[tiab] OR "nerve block"[tiab]</w:t>
      </w:r>
    </w:p>
    <w:p>
      <w:r>
        <w:rPr>
          <w:rFonts w:ascii="Times New Roman" w:hAnsi="Times New Roman"/>
          <w:b w:val="0"/>
          <w:i/>
          <w:sz w:val="24"/>
        </w:rPr>
        <w:t>#3  "pain"[MeSH Terms] OR "analgesia"[MeSH Terms] OR "pain management"[tiab] OR "pain relief"[tiab] OR "pain control"[tiab]</w:t>
      </w:r>
    </w:p>
    <w:p>
      <w:r>
        <w:rPr>
          <w:rFonts w:ascii="Times New Roman" w:hAnsi="Times New Roman"/>
          <w:b w:val="0"/>
          <w:i/>
          <w:sz w:val="24"/>
        </w:rPr>
        <w:t>#4  #1 AND #2</w:t>
      </w:r>
    </w:p>
    <w:p>
      <w:r>
        <w:rPr>
          <w:rFonts w:ascii="Times New Roman" w:hAnsi="Times New Roman"/>
          <w:b w:val="0"/>
          <w:i/>
          <w:sz w:val="24"/>
        </w:rPr>
        <w:t>#5  #4 AND #3 (used for refinement where needed)</w:t>
      </w:r>
    </w:p>
    <w:p>
      <w:pPr>
        <w:pStyle w:val="Heading2"/>
      </w:pPr>
      <w:r>
        <w:rPr>
          <w:color w:val="000000"/>
        </w:rPr>
        <w:t>Appendix 2: PRISMA-ScR Checklist</w:t>
      </w:r>
    </w:p>
    <w:p>
      <w:r>
        <w:rPr>
          <w:rFonts w:ascii="Times New Roman" w:hAnsi="Times New Roman"/>
          <w:b w:val="0"/>
          <w:i w:val="0"/>
          <w:sz w:val="24"/>
        </w:rPr>
        <w:t>See separate PRISMA-ScR Checklist file (PRISMA_ScR_Checklist.docx)</w:t>
      </w:r>
    </w:p>
    <w:p>
      <w:pPr>
        <w:pStyle w:val="Heading2"/>
      </w:pPr>
      <w:r>
        <w:rPr>
          <w:color w:val="000000"/>
        </w:rPr>
        <w:t>Appendix 3: Data charting form template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18"/>
              </w:rPr>
              <w:t>Variable</w:t>
            </w:r>
          </w:p>
        </w:tc>
        <w:tc>
          <w:tcPr>
            <w:tcW w:type="dxa" w:w="4320"/>
          </w:tcPr>
          <w:p>
            <w:r>
              <w:rPr>
                <w:rFonts w:ascii="Times New Roman" w:hAnsi="Times New Roman"/>
                <w:b/>
                <w:sz w:val="18"/>
              </w:rPr>
              <w:t>Description</w:t>
            </w:r>
          </w:p>
        </w:tc>
      </w:tr>
      <w:tr>
        <w:tc>
          <w:tcPr>
            <w:tcW w:type="dxa" w:w="4320"/>
          </w:tcPr>
          <w:p>
            <w:r>
              <w:rPr>
                <w:rFonts w:ascii="Times New Roman" w:hAnsi="Times New Roman"/>
                <w:sz w:val="18"/>
              </w:rPr>
              <w:t>Study ID</w:t>
            </w:r>
          </w:p>
        </w:tc>
        <w:tc>
          <w:tcPr>
            <w:tcW w:type="dxa" w:w="4320"/>
          </w:tcPr>
          <w:p>
            <w:r>
              <w:rPr>
                <w:rFonts w:ascii="Times New Roman" w:hAnsi="Times New Roman"/>
                <w:sz w:val="18"/>
              </w:rPr>
              <w:t>First author, year</w:t>
            </w:r>
          </w:p>
        </w:tc>
      </w:tr>
      <w:tr>
        <w:tc>
          <w:tcPr>
            <w:tcW w:type="dxa" w:w="4320"/>
          </w:tcPr>
          <w:p>
            <w:r>
              <w:rPr>
                <w:rFonts w:ascii="Times New Roman" w:hAnsi="Times New Roman"/>
                <w:sz w:val="18"/>
              </w:rPr>
              <w:t>Country</w:t>
            </w:r>
          </w:p>
        </w:tc>
        <w:tc>
          <w:tcPr>
            <w:tcW w:type="dxa" w:w="4320"/>
          </w:tcPr>
          <w:p>
            <w:r>
              <w:rPr>
                <w:rFonts w:ascii="Times New Roman" w:hAnsi="Times New Roman"/>
                <w:sz w:val="18"/>
              </w:rPr>
              <w:t>Country of study conduct</w:t>
            </w:r>
          </w:p>
        </w:tc>
      </w:tr>
      <w:tr>
        <w:tc>
          <w:tcPr>
            <w:tcW w:type="dxa" w:w="4320"/>
          </w:tcPr>
          <w:p>
            <w:r>
              <w:rPr>
                <w:rFonts w:ascii="Times New Roman" w:hAnsi="Times New Roman"/>
                <w:sz w:val="18"/>
              </w:rPr>
              <w:t>Study design</w:t>
            </w:r>
          </w:p>
        </w:tc>
        <w:tc>
          <w:tcPr>
            <w:tcW w:type="dxa" w:w="4320"/>
          </w:tcPr>
          <w:p>
            <w:r>
              <w:rPr>
                <w:rFonts w:ascii="Times New Roman" w:hAnsi="Times New Roman"/>
                <w:sz w:val="18"/>
              </w:rPr>
              <w:t>RCT, cohort, case series, SR/MA</w:t>
            </w:r>
          </w:p>
        </w:tc>
      </w:tr>
      <w:tr>
        <w:tc>
          <w:tcPr>
            <w:tcW w:type="dxa" w:w="4320"/>
          </w:tcPr>
          <w:p>
            <w:r>
              <w:rPr>
                <w:rFonts w:ascii="Times New Roman" w:hAnsi="Times New Roman"/>
                <w:sz w:val="18"/>
              </w:rPr>
              <w:t>Sample size</w:t>
            </w:r>
          </w:p>
        </w:tc>
        <w:tc>
          <w:tcPr>
            <w:tcW w:type="dxa" w:w="4320"/>
          </w:tcPr>
          <w:p>
            <w:r>
              <w:rPr>
                <w:rFonts w:ascii="Times New Roman" w:hAnsi="Times New Roman"/>
                <w:sz w:val="18"/>
              </w:rPr>
              <w:t>Total participants</w:t>
            </w:r>
          </w:p>
        </w:tc>
      </w:tr>
      <w:tr>
        <w:tc>
          <w:tcPr>
            <w:tcW w:type="dxa" w:w="4320"/>
          </w:tcPr>
          <w:p>
            <w:r>
              <w:rPr>
                <w:rFonts w:ascii="Times New Roman" w:hAnsi="Times New Roman"/>
                <w:sz w:val="18"/>
              </w:rPr>
              <w:t>Clinical domain</w:t>
            </w:r>
          </w:p>
        </w:tc>
        <w:tc>
          <w:tcPr>
            <w:tcW w:type="dxa" w:w="4320"/>
          </w:tcPr>
          <w:p>
            <w:r>
              <w:rPr>
                <w:rFonts w:ascii="Times New Roman" w:hAnsi="Times New Roman"/>
                <w:sz w:val="18"/>
              </w:rPr>
              <w:t>Dental, vascular, thoracic, orthopaedic, dermatological, other</w:t>
            </w:r>
          </w:p>
        </w:tc>
      </w:tr>
      <w:tr>
        <w:tc>
          <w:tcPr>
            <w:tcW w:type="dxa" w:w="4320"/>
          </w:tcPr>
          <w:p>
            <w:r>
              <w:rPr>
                <w:rFonts w:ascii="Times New Roman" w:hAnsi="Times New Roman"/>
                <w:sz w:val="18"/>
              </w:rPr>
              <w:t>Population</w:t>
            </w:r>
          </w:p>
        </w:tc>
        <w:tc>
          <w:tcPr>
            <w:tcW w:type="dxa" w:w="4320"/>
          </w:tcPr>
          <w:p>
            <w:r>
              <w:rPr>
                <w:rFonts w:ascii="Times New Roman" w:hAnsi="Times New Roman"/>
                <w:sz w:val="18"/>
              </w:rPr>
              <w:t>Age range, sex, clinical indication</w:t>
            </w:r>
          </w:p>
        </w:tc>
      </w:tr>
      <w:tr>
        <w:tc>
          <w:tcPr>
            <w:tcW w:type="dxa" w:w="4320"/>
          </w:tcPr>
          <w:p>
            <w:r>
              <w:rPr>
                <w:rFonts w:ascii="Times New Roman" w:hAnsi="Times New Roman"/>
                <w:sz w:val="18"/>
              </w:rPr>
              <w:t>Cryoanalgesic modality</w:t>
            </w:r>
          </w:p>
        </w:tc>
        <w:tc>
          <w:tcPr>
            <w:tcW w:type="dxa" w:w="4320"/>
          </w:tcPr>
          <w:p>
            <w:r>
              <w:rPr>
                <w:rFonts w:ascii="Times New Roman" w:hAnsi="Times New Roman"/>
                <w:sz w:val="18"/>
              </w:rPr>
              <w:t>Type, temperature, duration, device</w:t>
            </w:r>
          </w:p>
        </w:tc>
      </w:tr>
      <w:tr>
        <w:tc>
          <w:tcPr>
            <w:tcW w:type="dxa" w:w="4320"/>
          </w:tcPr>
          <w:p>
            <w:r>
              <w:rPr>
                <w:rFonts w:ascii="Times New Roman" w:hAnsi="Times New Roman"/>
                <w:sz w:val="18"/>
              </w:rPr>
              <w:t>Comparator</w:t>
            </w:r>
          </w:p>
        </w:tc>
        <w:tc>
          <w:tcPr>
            <w:tcW w:type="dxa" w:w="4320"/>
          </w:tcPr>
          <w:p>
            <w:r>
              <w:rPr>
                <w:rFonts w:ascii="Times New Roman" w:hAnsi="Times New Roman"/>
                <w:sz w:val="18"/>
              </w:rPr>
              <w:t>LA drug, formulation, dose, route</w:t>
            </w:r>
          </w:p>
        </w:tc>
      </w:tr>
      <w:tr>
        <w:tc>
          <w:tcPr>
            <w:tcW w:type="dxa" w:w="4320"/>
          </w:tcPr>
          <w:p>
            <w:r>
              <w:rPr>
                <w:rFonts w:ascii="Times New Roman" w:hAnsi="Times New Roman"/>
                <w:sz w:val="18"/>
              </w:rPr>
              <w:t>Primary outcome</w:t>
            </w:r>
          </w:p>
        </w:tc>
        <w:tc>
          <w:tcPr>
            <w:tcW w:type="dxa" w:w="4320"/>
          </w:tcPr>
          <w:p>
            <w:r>
              <w:rPr>
                <w:rFonts w:ascii="Times New Roman" w:hAnsi="Times New Roman"/>
                <w:sz w:val="18"/>
              </w:rPr>
              <w:t>Pain score (VAS/NRS), success rate, other</w:t>
            </w:r>
          </w:p>
        </w:tc>
      </w:tr>
      <w:tr>
        <w:tc>
          <w:tcPr>
            <w:tcW w:type="dxa" w:w="4320"/>
          </w:tcPr>
          <w:p>
            <w:r>
              <w:rPr>
                <w:rFonts w:ascii="Times New Roman" w:hAnsi="Times New Roman"/>
                <w:sz w:val="18"/>
              </w:rPr>
              <w:t>Secondary outcomes</w:t>
            </w:r>
          </w:p>
        </w:tc>
        <w:tc>
          <w:tcPr>
            <w:tcW w:type="dxa" w:w="4320"/>
          </w:tcPr>
          <w:p>
            <w:r>
              <w:rPr>
                <w:rFonts w:ascii="Times New Roman" w:hAnsi="Times New Roman"/>
                <w:sz w:val="18"/>
              </w:rPr>
              <w:t>Opioid consumption, complications, satisfaction, cost</w:t>
            </w:r>
          </w:p>
        </w:tc>
      </w:tr>
      <w:tr>
        <w:tc>
          <w:tcPr>
            <w:tcW w:type="dxa" w:w="4320"/>
          </w:tcPr>
          <w:p>
            <w:r>
              <w:rPr>
                <w:rFonts w:ascii="Times New Roman" w:hAnsi="Times New Roman"/>
                <w:sz w:val="18"/>
              </w:rPr>
              <w:t>Key findings</w:t>
            </w:r>
          </w:p>
        </w:tc>
        <w:tc>
          <w:tcPr>
            <w:tcW w:type="dxa" w:w="4320"/>
          </w:tcPr>
          <w:p>
            <w:r>
              <w:rPr>
                <w:rFonts w:ascii="Times New Roman" w:hAnsi="Times New Roman"/>
                <w:sz w:val="18"/>
              </w:rPr>
              <w:t>Direction and magnitude of effect</w:t>
            </w:r>
          </w:p>
        </w:tc>
      </w:tr>
      <w:tr>
        <w:tc>
          <w:tcPr>
            <w:tcW w:type="dxa" w:w="4320"/>
          </w:tcPr>
          <w:p>
            <w:r>
              <w:rPr>
                <w:rFonts w:ascii="Times New Roman" w:hAnsi="Times New Roman"/>
                <w:sz w:val="18"/>
              </w:rPr>
              <w:t>Risk of bias concerns</w:t>
            </w:r>
          </w:p>
        </w:tc>
        <w:tc>
          <w:tcPr>
            <w:tcW w:type="dxa" w:w="4320"/>
          </w:tcPr>
          <w:p>
            <w:r>
              <w:rPr>
                <w:rFonts w:ascii="Times New Roman" w:hAnsi="Times New Roman"/>
                <w:sz w:val="18"/>
              </w:rPr>
              <w:t>Notable methodological limitations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