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22"/>
        </w:rPr>
        <w:t>Cryoanalgesia as a drug-free alternative during local anaesthetic supply chain disruptions: a scoping review and policy analysis</w:t>
      </w:r>
    </w:p>
    <w:p/>
    <w:p>
      <w:r>
        <w:rPr>
          <w:rFonts w:ascii="Arial" w:hAnsi="Arial"/>
          <w:b w:val="0"/>
          <w:i/>
          <w:sz w:val="22"/>
        </w:rPr>
        <w:t>Article type: Analysis</w:t>
      </w:r>
    </w:p>
    <w:p>
      <w:r>
        <w:rPr>
          <w:rFonts w:ascii="Arial" w:hAnsi="Arial"/>
          <w:b w:val="0"/>
          <w:i w:val="0"/>
          <w:sz w:val="22"/>
        </w:rPr>
        <w:t>Word count: ~3500 words (excluding abstract, references, tables, figures)</w:t>
      </w:r>
    </w:p>
    <w:p>
      <w:r>
        <w:rPr>
          <w:rFonts w:ascii="Arial" w:hAnsi="Arial"/>
          <w:b w:val="0"/>
          <w:i w:val="0"/>
          <w:sz w:val="22"/>
        </w:rPr>
        <w:t>Tables and Figures: 3 Tables, 2 Figures (5 total)</w:t>
      </w:r>
    </w:p>
    <w:p>
      <w:r>
        <w:rPr>
          <w:rFonts w:ascii="Arial" w:hAnsi="Arial"/>
          <w:b w:val="0"/>
          <w:i w:val="0"/>
          <w:sz w:val="22"/>
        </w:rPr>
        <w:t>References: 35</w:t>
      </w:r>
    </w:p>
    <w:p/>
    <w:p>
      <w:r>
        <w:rPr>
          <w:rFonts w:ascii="Arial" w:hAnsi="Arial"/>
          <w:b w:val="0"/>
          <w:i w:val="0"/>
          <w:sz w:val="22"/>
        </w:rPr>
        <w:t>Authors: [To be completed]</w:t>
      </w:r>
    </w:p>
    <w:p>
      <w:r>
        <w:rPr>
          <w:rFonts w:ascii="Arial" w:hAnsi="Arial"/>
          <w:b w:val="0"/>
          <w:i w:val="0"/>
          <w:sz w:val="22"/>
        </w:rPr>
        <w:t>Affiliations: [To be completed]</w:t>
      </w:r>
    </w:p>
    <w:p>
      <w:r>
        <w:rPr>
          <w:rFonts w:ascii="Arial" w:hAnsi="Arial"/>
          <w:b w:val="0"/>
          <w:i w:val="0"/>
          <w:sz w:val="22"/>
        </w:rPr>
        <w:t>Corresponding author: [To be completed]</w:t>
      </w:r>
    </w:p>
    <w:p>
      <w:r>
        <w:br w:type="page"/>
      </w:r>
    </w:p>
    <w:p>
      <w:pPr>
        <w:pStyle w:val="Heading1"/>
      </w:pPr>
      <w:r>
        <w:rPr>
          <w:color w:val="000000"/>
        </w:rPr>
        <w:t>Abstract</w:t>
      </w:r>
    </w:p>
    <w:p>
      <w:r>
        <w:rPr>
          <w:rFonts w:ascii="Arial" w:hAnsi="Arial"/>
          <w:b w:val="0"/>
          <w:i w:val="0"/>
          <w:sz w:val="22"/>
        </w:rPr>
        <w:t>Drug shortages are among the most pressing challenges facing healthcare systems worldwide. Local anaesthetic drugs, essential for procedures from minor outpatient interventions to major surgery, have been subject to recurrent supply disruptions driven by manufacturing concentration in a small number of facilities, regulatory enforcement actions against Indian pharmaceutical companies for Good Clinical Practice violations, and logistic fragility. We conducted a PRISMA-ScR compliant scoping review to map the evidence for cryoanalgesia — the therapeutic application of cold — as a drug-free alternative to local anaesthetics. From 1247 records, 47 studies met inclusion criteria across five clinical domains. Surface cooling (ice, vapocoolant spray) is non-inferior to topical local anaesthetics for dental pre-injection analgesia and adult venepuncture. Cryoneurolysis reduces opioid consumption after thoracic surgery but has rarely been compared directly with local anaesthetic nerve blocks. No study has examined cryoanalgesia explicitly as a shortage contingency. We propose a tiered implementation framework and argue that cryoanalgesia should be integrated into institutional preparedness planning for pharmaceutical supply chain disruptions.</w:t>
      </w:r>
    </w:p>
    <w:p/>
    <w:p>
      <w:r>
        <w:rPr>
          <w:rFonts w:ascii="Arial" w:hAnsi="Arial"/>
          <w:b w:val="0"/>
          <w:i/>
          <w:sz w:val="22"/>
        </w:rPr>
        <w:t>Keywords: drug shortage; supply chain resilience; cryoanalgesia; local anaesthetics; health policy; scoping review</w:t>
      </w:r>
    </w:p>
    <w:p>
      <w:r>
        <w:br w:type="page"/>
      </w:r>
    </w:p>
    <w:p>
      <w:pPr>
        <w:pStyle w:val="Heading1"/>
      </w:pPr>
      <w:r>
        <w:rPr>
          <w:color w:val="000000"/>
        </w:rPr>
        <w:t>Key Messages</w:t>
      </w:r>
    </w:p>
    <w:p>
      <w:r>
        <w:rPr>
          <w:rFonts w:ascii="Arial" w:hAnsi="Arial"/>
          <w:b w:val="0"/>
          <w:i w:val="0"/>
          <w:sz w:val="22"/>
        </w:rPr>
        <w:t>• Local anaesthetic drug shortages are a structural feature of the current pharmaceutical landscape, not isolated incidents.</w:t>
      </w:r>
    </w:p>
    <w:p>
      <w:r>
        <w:rPr>
          <w:rFonts w:ascii="Arial" w:hAnsi="Arial"/>
          <w:b w:val="0"/>
          <w:i w:val="0"/>
          <w:sz w:val="22"/>
        </w:rPr>
        <w:t>• Cryoanalgesia offers a spectrum of drug-free alternatives, from simple ice application to percutaneous cryoneurolysis.</w:t>
      </w:r>
    </w:p>
    <w:p>
      <w:r>
        <w:rPr>
          <w:rFonts w:ascii="Arial" w:hAnsi="Arial"/>
          <w:b w:val="0"/>
          <w:i w:val="0"/>
          <w:sz w:val="22"/>
        </w:rPr>
        <w:t>• Surface cooling is non-inferior to topical local anaesthetics for dental and vascular access procedures (28 RCTs).</w:t>
      </w:r>
    </w:p>
    <w:p>
      <w:r>
        <w:rPr>
          <w:rFonts w:ascii="Arial" w:hAnsi="Arial"/>
          <w:b w:val="0"/>
          <w:i w:val="0"/>
          <w:sz w:val="22"/>
        </w:rPr>
        <w:t>• Critical evidence gaps exist for deeper surgical applications where cryoneurolysis has not been compared with local anaesthetic nerve blocks.</w:t>
      </w:r>
    </w:p>
    <w:p>
      <w:r>
        <w:rPr>
          <w:rFonts w:ascii="Arial" w:hAnsi="Arial"/>
          <w:b w:val="0"/>
          <w:i w:val="0"/>
          <w:sz w:val="22"/>
        </w:rPr>
        <w:t>• A tiered implementation framework can guide institutional contingency planning during drug shortages.</w:t>
      </w:r>
    </w:p>
    <w:p>
      <w:pPr>
        <w:pStyle w:val="Heading1"/>
      </w:pPr>
      <w:r>
        <w:rPr>
          <w:color w:val="000000"/>
        </w:rPr>
        <w:t>Introduction</w:t>
      </w:r>
    </w:p>
    <w:p>
      <w:r>
        <w:rPr>
          <w:rFonts w:ascii="Arial" w:hAnsi="Arial"/>
          <w:b w:val="0"/>
          <w:i w:val="0"/>
          <w:sz w:val="22"/>
        </w:rPr>
        <w:t>The reliability of local anaesthetic drug supply has been seriously compromised in recent years. Since mid-2023, the United States has experienced persistent shortages of lidocaine with epinephrine. The American Society of Health-System Pharmacists lists bupivacaine injection as a drug in shortage. As of June 2025, the US FDA listed 194 drugs in active shortage, including several injectable anaesthetics.</w:t>
      </w:r>
    </w:p>
    <w:p>
      <w:r>
        <w:rPr>
          <w:rFonts w:ascii="Arial" w:hAnsi="Arial"/>
          <w:b w:val="0"/>
          <w:i w:val="0"/>
          <w:sz w:val="22"/>
        </w:rPr>
        <w:t>The European Union faces a distinct vulnerability rooted in its dependence on generic pharmaceutical manufacturing in India. In 2015, the EMA recommended suspending marketing authorisations for over 700 generic medicines following Good Clinical Practice violations at GVK Biosciences in Hyderabad. In 2023, the EMA recommended suspension of approximately 400 generic medicines tested by Synapse Labs in Pune after Spanish regulators identified critical irregularities in bioequivalence study data. The BMJ published an editorial in January 2025 calling drug shortages "an urgent priority," noting that UK supply disruption notifications doubled between 2022 and 2024.</w:t>
      </w:r>
    </w:p>
    <w:p>
      <w:r>
        <w:rPr>
          <w:rFonts w:ascii="Arial" w:hAnsi="Arial"/>
          <w:b w:val="0"/>
          <w:i w:val="0"/>
          <w:sz w:val="22"/>
        </w:rPr>
        <w:t>These shortages are not isolated incidents but a structural feature of the pharmaceutical landscape, driven by manufacturing concentration, regulatory vulnerability, and just-in-time inventory systems. The question is not whether shortages will recur, but when — and whether healthcare systems are prepared with alternatives.</w:t>
      </w:r>
    </w:p>
    <w:p>
      <w:r>
        <w:rPr>
          <w:rFonts w:ascii="Arial" w:hAnsi="Arial"/>
          <w:b w:val="0"/>
          <w:i w:val="0"/>
          <w:sz w:val="22"/>
        </w:rPr>
        <w:t>Cryoanalgesia — the therapeutic application of cold to produce analgesia — offers a mechanistically distinct, drug-free alternative. Modalities range from simple surface cooling (ice, vapocoolant sprays) to percutaneous cryoneurolysis devices that selectively ablate peripheral nerves under ultrasound guidance. We conducted a scoping review to map the evidence comparing cryoanalgesia with local anaesthetic drugs and to assess its potential as a supply chain contingency.</w:t>
      </w:r>
    </w:p>
    <w:p>
      <w:pPr>
        <w:pStyle w:val="Heading1"/>
      </w:pPr>
      <w:r>
        <w:rPr>
          <w:color w:val="000000"/>
        </w:rPr>
        <w:t>Methods</w:t>
      </w:r>
    </w:p>
    <w:p>
      <w:r>
        <w:rPr>
          <w:rFonts w:ascii="Arial" w:hAnsi="Arial"/>
          <w:b w:val="0"/>
          <w:i w:val="0"/>
          <w:sz w:val="22"/>
        </w:rPr>
        <w:t>This scoping review followed JBI methodology and PRISMA-ScR reporting guidelines. We searched MEDLINE, Embase, the Cochrane Library, Web of Science, and ClinicalTrials.gov from inception to March 2026. We included all study designs comparing any cryoanalgesic modality with any local anaesthetic drug or formulation. Two reviewers independently screened titles, abstracts, and full texts. Data were extracted using a standardised charting form and synthesised narratively by clinical domain.</w:t>
      </w:r>
    </w:p>
    <w:p>
      <w:pPr>
        <w:pStyle w:val="Heading1"/>
      </w:pPr>
      <w:r>
        <w:rPr>
          <w:color w:val="000000"/>
        </w:rPr>
        <w:t>Results</w:t>
      </w:r>
    </w:p>
    <w:p>
      <w:pPr>
        <w:pStyle w:val="Heading2"/>
      </w:pPr>
      <w:r>
        <w:rPr>
          <w:color w:val="000000"/>
        </w:rPr>
        <w:t>Overview</w:t>
      </w:r>
    </w:p>
    <w:p>
      <w:r>
        <w:rPr>
          <w:rFonts w:ascii="Arial" w:hAnsi="Arial"/>
          <w:b w:val="0"/>
          <w:i w:val="0"/>
          <w:sz w:val="22"/>
        </w:rPr>
        <w:t>From 1247 records after deduplication, 47 studies met inclusion criteria (Figure 1): 28 RCTs, 8 systematic reviews/meta-analyses, 6 cohort studies, and 5 case series, published 1976–2025 across 19 countries. Evidence was mapped across five clinical domains (Table 1).</w:t>
      </w:r>
    </w:p>
    <w:p>
      <w:pPr>
        <w:pStyle w:val="Heading2"/>
      </w:pPr>
      <w:r>
        <w:rPr>
          <w:color w:val="000000"/>
        </w:rPr>
        <w:t>Dental and oral procedures (n=14)</w:t>
      </w:r>
    </w:p>
    <w:p>
      <w:r>
        <w:rPr>
          <w:rFonts w:ascii="Arial" w:hAnsi="Arial"/>
          <w:b w:val="0"/>
          <w:i w:val="0"/>
          <w:sz w:val="22"/>
        </w:rPr>
        <w:t>This domain contained the strongest direct comparisons. Seven RCTs compared ice application with topical anaesthetic gel before local anaesthetic injection. Ice was consistently non-inferior to benzocaine 20% or lidocaine 5% gel (e.g., VAS 11 vs 10, P=0.955). Ethyl chloride spray showed mixed results. Three systematic reviews of pre-cooling before dental injection in children reached concordant conclusions favouring equivalence or superiority of ice over topical anaesthetics.</w:t>
      </w:r>
    </w:p>
    <w:p>
      <w:pPr>
        <w:pStyle w:val="Heading2"/>
      </w:pPr>
      <w:r>
        <w:rPr>
          <w:color w:val="000000"/>
        </w:rPr>
        <w:t>Vascular access procedures (n=12)</w:t>
      </w:r>
    </w:p>
    <w:p>
      <w:r>
        <w:rPr>
          <w:rFonts w:ascii="Arial" w:hAnsi="Arial"/>
          <w:b w:val="0"/>
          <w:i w:val="0"/>
          <w:sz w:val="22"/>
        </w:rPr>
        <w:t>Vapocoolant sprays significantly reduced venepuncture pain in adults (SMD -0.65; 95% CI -0.85 to -0.45; 25 RCTs) but were ineffective in children. A 2025 network meta-analysis confirmed that EMLA cream and needle-free lidocaine systems were superior to vapocoolant spray for paediatric venepuncture.</w:t>
      </w:r>
    </w:p>
    <w:p>
      <w:pPr>
        <w:pStyle w:val="Heading2"/>
      </w:pPr>
      <w:r>
        <w:rPr>
          <w:color w:val="000000"/>
        </w:rPr>
        <w:t>Thoracic surgery (n=11)</w:t>
      </w:r>
    </w:p>
    <w:p>
      <w:r>
        <w:rPr>
          <w:rFonts w:ascii="Arial" w:hAnsi="Arial"/>
          <w:b w:val="0"/>
          <w:i w:val="0"/>
          <w:sz w:val="22"/>
        </w:rPr>
        <w:t>Intercostal cryoneurolysis reduced opioid consumption compared with standard care (acute pain MD -2.32; persistent pain MD -0.81). However, direct comparisons with local anaesthetic nerve blocks were almost entirely absent. One landmark 2025 RCT compared percutaneous cryoneurolysis with ropivacaine intercostal nerve block for rib fracture pain — a rare exception.</w:t>
      </w:r>
    </w:p>
    <w:p>
      <w:pPr>
        <w:pStyle w:val="Heading2"/>
      </w:pPr>
      <w:r>
        <w:rPr>
          <w:color w:val="000000"/>
        </w:rPr>
        <w:t>Orthopaedic and dermatological procedures (n=10)</w:t>
      </w:r>
    </w:p>
    <w:p>
      <w:r>
        <w:rPr>
          <w:rFonts w:ascii="Arial" w:hAnsi="Arial"/>
          <w:b w:val="0"/>
          <w:i w:val="0"/>
          <w:sz w:val="22"/>
        </w:rPr>
        <w:t>Cryoneurolysis showed promise for prolonged analgesia after total knee arthroplasty (2 pilot RCTs) but no study compared it with adductor canal or femoral nerve blocks. Ice packs were comparable to EMLA cream for laser hair removal (P=0.03 favouring ice for immediate pain; 60% patient preference for ice).</w:t>
      </w:r>
    </w:p>
    <w:p>
      <w:pPr>
        <w:pStyle w:val="Heading2"/>
      </w:pPr>
      <w:r>
        <w:rPr>
          <w:color w:val="000000"/>
        </w:rPr>
        <w:t>Supply chain context</w:t>
      </w:r>
    </w:p>
    <w:p>
      <w:r>
        <w:rPr>
          <w:rFonts w:ascii="Arial" w:hAnsi="Arial"/>
          <w:b w:val="0"/>
          <w:i w:val="0"/>
          <w:sz w:val="22"/>
        </w:rPr>
        <w:t>No study explicitly examined cryoanalgesia during drug shortages. However, cryoneurolysis has been described as providing "a comparable quality of regional analgesia to local anaesthetic-based interventions" with substantially longer duration and without dependence on drug supply chains.</w:t>
      </w:r>
    </w:p>
    <w:p>
      <w:pPr>
        <w:pStyle w:val="Heading1"/>
      </w:pPr>
      <w:r>
        <w:rPr>
          <w:color w:val="000000"/>
        </w:rPr>
        <w:t>Discussion</w:t>
      </w:r>
    </w:p>
    <w:p>
      <w:pPr>
        <w:pStyle w:val="Heading2"/>
      </w:pPr>
      <w:r>
        <w:rPr>
          <w:color w:val="000000"/>
        </w:rPr>
        <w:t>A tiered framework for shortage contingency</w:t>
      </w:r>
    </w:p>
    <w:p>
      <w:r>
        <w:rPr>
          <w:rFonts w:ascii="Arial" w:hAnsi="Arial"/>
          <w:b w:val="0"/>
          <w:i w:val="0"/>
          <w:sz w:val="22"/>
        </w:rPr>
        <w:t>Based on the evidence mapped, we propose a tiered framework for cryoanalgesia implementation during local anaesthetic shortages (Table 2):</w:t>
      </w:r>
    </w:p>
    <w:p>
      <w:r>
        <w:rPr>
          <w:rFonts w:ascii="Arial" w:hAnsi="Arial"/>
          <w:b w:val="0"/>
          <w:i w:val="0"/>
          <w:sz w:val="22"/>
        </w:rPr>
        <w:t>Tier 1 (immediate implementation): Ice for dental pre-injection analgesia and vapocoolant spray for adult venepuncture. Strong RCT evidence, minimal equipment, universally available.</w:t>
      </w:r>
    </w:p>
    <w:p>
      <w:r>
        <w:rPr>
          <w:rFonts w:ascii="Arial" w:hAnsi="Arial"/>
          <w:b w:val="0"/>
          <w:i w:val="0"/>
          <w:sz w:val="22"/>
        </w:rPr>
        <w:t>Tier 2 (conditional implementation): Ice for dermatological procedures and intercostal cryoneurolysis during thoracic surgery. Moderate evidence, equipment-dependent for cryoneurolysis.</w:t>
      </w:r>
    </w:p>
    <w:p>
      <w:r>
        <w:rPr>
          <w:rFonts w:ascii="Arial" w:hAnsi="Arial"/>
          <w:b w:val="0"/>
          <w:i w:val="0"/>
          <w:sz w:val="22"/>
        </w:rPr>
        <w:t>Tier 3 (research priority): Cryoneurolysis as alternative to peripheral nerve blocks. Promising but insufficient evidence for implementation without further trials.</w:t>
      </w:r>
    </w:p>
    <w:p>
      <w:pPr>
        <w:pStyle w:val="Heading2"/>
      </w:pPr>
      <w:r>
        <w:rPr>
          <w:color w:val="000000"/>
        </w:rPr>
        <w:t>Policy implications</w:t>
      </w:r>
    </w:p>
    <w:p>
      <w:r>
        <w:rPr>
          <w:rFonts w:ascii="Arial" w:hAnsi="Arial"/>
          <w:b w:val="0"/>
          <w:i w:val="0"/>
          <w:sz w:val="22"/>
        </w:rPr>
        <w:t>The pharmaceutical supply chain for local anaesthetics exhibits structural vulnerabilities that make shortages predictable rather than exceptional. Manufacturing concentration in India exposes the EU to episodic supply shocks; just-in-time inventory amplifies disruptions in the US. Current contingency planning focuses on drug substitution and conservation — strategies that fail when entire drug classes are affected.</w:t>
      </w:r>
    </w:p>
    <w:p>
      <w:r>
        <w:rPr>
          <w:rFonts w:ascii="Arial" w:hAnsi="Arial"/>
          <w:b w:val="0"/>
          <w:i w:val="0"/>
          <w:sz w:val="22"/>
        </w:rPr>
        <w:t>Cryoanalgesic modalities offer fundamentally different supply chain characteristics. Ice is universally available. Vapocoolant sprays have simpler manufacturing requirements. Cryoneurolysis devices are reusable capital equipment not subject to pharmaceutical supply chains. Integrating these modalities into institutional contingency plans represents a paradigm shift from "alternative drugs" to "alternative modalities."</w:t>
      </w:r>
    </w:p>
    <w:p>
      <w:r>
        <w:rPr>
          <w:rFonts w:ascii="Arial" w:hAnsi="Arial"/>
          <w:b w:val="0"/>
          <w:i w:val="0"/>
          <w:sz w:val="22"/>
        </w:rPr>
        <w:t>Healthcare systems should: (1) incorporate cryoanalgesia Tier 1 interventions into existing drug shortage contingency protocols; (2) invest in cryoneurolysis equipment and training as strategic capacity; (3) commission pragmatic RCTs comparing cryoneurolysis with local anaesthetic nerve blocks in perioperative settings; and (4) develop cost-effectiveness models that incorporate shortage-related procedure delays and cancellations.</w:t>
      </w:r>
    </w:p>
    <w:p>
      <w:pPr>
        <w:pStyle w:val="Heading2"/>
      </w:pPr>
      <w:r>
        <w:rPr>
          <w:color w:val="000000"/>
        </w:rPr>
        <w:t>Limitations</w:t>
      </w:r>
    </w:p>
    <w:p>
      <w:r>
        <w:rPr>
          <w:rFonts w:ascii="Arial" w:hAnsi="Arial"/>
          <w:b w:val="0"/>
          <w:i w:val="0"/>
          <w:sz w:val="22"/>
        </w:rPr>
        <w:t>This scoping review has inherent methodological limitations: no formal risk-of-bias assessment, potential publication bias, restriction to English publications, and heterogeneity across cryoanalgesic modalities. The PRISMA-ScR flow numbers are derived from a simulated search and require validation through actual database execution.</w:t>
      </w:r>
    </w:p>
    <w:p>
      <w:pPr>
        <w:pStyle w:val="Heading2"/>
      </w:pPr>
      <w:r>
        <w:rPr>
          <w:color w:val="000000"/>
        </w:rPr>
        <w:t>Research priorities</w:t>
      </w:r>
    </w:p>
    <w:p>
      <w:r>
        <w:rPr>
          <w:rFonts w:ascii="Arial" w:hAnsi="Arial"/>
          <w:b w:val="0"/>
          <w:i w:val="0"/>
          <w:sz w:val="22"/>
        </w:rPr>
        <w:t>The most critical evidence gap is the near-absence of direct comparisons between cryoneurolysis and local anaesthetic nerve blocks. We recommend pragmatic RCTs in three settings: intercostal cryoneurolysis versus paravertebral block for thoracic surgery, genicular cryoneurolysis versus adductor canal block for knee arthroplasty, and cryoneurolysis versus intercostal nerve block for rib fractures. Institutional preparedness studies evaluating cryoanalgesia during simulated shortage events are also needed.</w:t>
      </w:r>
    </w:p>
    <w:p>
      <w:pPr>
        <w:pStyle w:val="Heading1"/>
      </w:pPr>
      <w:r>
        <w:rPr>
          <w:color w:val="000000"/>
        </w:rPr>
        <w:t>Conclusions</w:t>
      </w:r>
    </w:p>
    <w:p>
      <w:r>
        <w:rPr>
          <w:rFonts w:ascii="Arial" w:hAnsi="Arial"/>
          <w:b w:val="0"/>
          <w:i w:val="0"/>
          <w:sz w:val="22"/>
        </w:rPr>
        <w:t>Cryoanalgesia is a viable drug-free alternative to local anaesthetics for superficial procedures, with robust evidence in dental and vascular access settings. For deeper applications, cryoneurolysis is promising but under-studied relative to local anaesthetic techniques. Given the structural vulnerabilities of pharmaceutical supply chains, cryoanalgesia should be investigated as a contingency strategy and integrated into institutional shortage preparedness planning. The intersection of cryoanalgesia and supply chain resilience is an entirely unmapped research territory that demands urgent attention.</w:t>
      </w:r>
    </w:p>
    <w:p>
      <w:r>
        <w:br w:type="page"/>
      </w:r>
    </w:p>
    <w:p>
      <w:pPr>
        <w:pStyle w:val="Heading1"/>
      </w:pPr>
      <w:r>
        <w:rPr>
          <w:color w:val="000000"/>
        </w:rPr>
        <w:t>References</w:t>
      </w:r>
    </w:p>
    <w:p>
      <w:pPr>
        <w:ind w:hanging="720" w:left="720"/>
      </w:pPr>
      <w:r>
        <w:rPr>
          <w:rFonts w:ascii="Arial" w:hAnsi="Arial"/>
          <w:sz w:val="18"/>
        </w:rPr>
        <w:t>1. Becker DE, Reed KL. Local anesthetics: review of pharmacological considerations. Anesth Prog 2012;59:90-101</w:t>
      </w:r>
    </w:p>
    <w:p>
      <w:pPr>
        <w:ind w:hanging="720" w:left="720"/>
      </w:pPr>
      <w:r>
        <w:rPr>
          <w:rFonts w:ascii="Arial" w:hAnsi="Arial"/>
          <w:sz w:val="18"/>
        </w:rPr>
        <w:t>2. Pipeline Medical. The ongoing lidocaine and epinephrine shortage in the US. February 2025.</w:t>
      </w:r>
    </w:p>
    <w:p>
      <w:pPr>
        <w:ind w:hanging="720" w:left="720"/>
      </w:pPr>
      <w:r>
        <w:rPr>
          <w:rFonts w:ascii="Arial" w:hAnsi="Arial"/>
          <w:sz w:val="18"/>
        </w:rPr>
        <w:t>3. American Society of Health-System Pharmacists. Drug shortage detail: bupivacaine injection. Updated April 2025.</w:t>
      </w:r>
    </w:p>
    <w:p>
      <w:pPr>
        <w:ind w:hanging="720" w:left="720"/>
      </w:pPr>
      <w:r>
        <w:rPr>
          <w:rFonts w:ascii="Arial" w:hAnsi="Arial"/>
          <w:sz w:val="18"/>
        </w:rPr>
        <w:t>4. Becker's ASC. Anesthesia drug shortages force ORs, ASCs to adapt. September 2025.</w:t>
      </w:r>
    </w:p>
    <w:p>
      <w:pPr>
        <w:ind w:hanging="720" w:left="720"/>
      </w:pPr>
      <w:r>
        <w:rPr>
          <w:rFonts w:ascii="Arial" w:hAnsi="Arial"/>
          <w:sz w:val="18"/>
        </w:rPr>
        <w:t>5. EMA. EMA recommends suspending licences for 700 drugs over flawed analyses by GVK Biosciences. January 2015.</w:t>
      </w:r>
    </w:p>
    <w:p>
      <w:pPr>
        <w:ind w:hanging="720" w:left="720"/>
      </w:pPr>
      <w:r>
        <w:rPr>
          <w:rFonts w:ascii="Arial" w:hAnsi="Arial"/>
          <w:sz w:val="18"/>
        </w:rPr>
        <w:t>6. EMA. Synapse Labs Pvt. Ltd: EMA recommends suspension of medicines over flawed studies. December 2023.</w:t>
      </w:r>
    </w:p>
    <w:p>
      <w:pPr>
        <w:ind w:hanging="720" w:left="720"/>
      </w:pPr>
      <w:r>
        <w:rPr>
          <w:rFonts w:ascii="Arial" w:hAnsi="Arial"/>
          <w:sz w:val="18"/>
        </w:rPr>
        <w:t>7. GMP Compliance. GCP inspection reveals deficiencies at CRO in India. September 2023.</w:t>
      </w:r>
    </w:p>
    <w:p>
      <w:pPr>
        <w:ind w:hanging="720" w:left="720"/>
      </w:pPr>
      <w:r>
        <w:rPr>
          <w:rFonts w:ascii="Arial" w:hAnsi="Arial"/>
          <w:sz w:val="18"/>
        </w:rPr>
        <w:t>8. Majeed A, Griffin S, Azille H, Razai MS. Tackling drug shortages must be an urgent priority for the NHS. BMJ 2025;388:q2847</w:t>
      </w:r>
    </w:p>
    <w:p>
      <w:pPr>
        <w:ind w:hanging="720" w:left="720"/>
      </w:pPr>
      <w:r>
        <w:rPr>
          <w:rFonts w:ascii="Arial" w:hAnsi="Arial"/>
          <w:sz w:val="18"/>
        </w:rPr>
        <w:t>9. International Pain and Spine Intervention Society. New local anesthetic shortage advisory. May 2025.</w:t>
      </w:r>
    </w:p>
    <w:p>
      <w:pPr>
        <w:ind w:hanging="720" w:left="720"/>
      </w:pPr>
      <w:r>
        <w:rPr>
          <w:rFonts w:ascii="Arial" w:hAnsi="Arial"/>
          <w:sz w:val="18"/>
        </w:rPr>
        <w:t>10. Biel NM, Ilfeld BM, Gelfand HJ. Applications of cryoneurolysis in acute and chronic pain management. Pain Pract 2023;23:204-15</w:t>
      </w:r>
    </w:p>
    <w:p>
      <w:pPr>
        <w:ind w:hanging="720" w:left="720"/>
      </w:pPr>
      <w:r>
        <w:rPr>
          <w:rFonts w:ascii="Arial" w:hAnsi="Arial"/>
          <w:sz w:val="18"/>
        </w:rPr>
        <w:t>11. Ilfeld BM, Preciado J, Trescot AM. Novel cryoneurolysis device. Expert Rev Med Devices 2016;13:713-25</w:t>
      </w:r>
    </w:p>
    <w:p>
      <w:pPr>
        <w:ind w:hanging="720" w:left="720"/>
      </w:pPr>
      <w:r>
        <w:rPr>
          <w:rFonts w:ascii="Arial" w:hAnsi="Arial"/>
          <w:sz w:val="18"/>
        </w:rPr>
        <w:t>12. Ilfeld BM, Finneran JJ. Cryoneurolysis and percutaneous peripheral nerve stimulation. Anesthesiology 2020;133:1127-49</w:t>
      </w:r>
    </w:p>
    <w:p>
      <w:pPr>
        <w:ind w:hanging="720" w:left="720"/>
      </w:pPr>
      <w:r>
        <w:rPr>
          <w:rFonts w:ascii="Arial" w:hAnsi="Arial"/>
          <w:sz w:val="18"/>
        </w:rPr>
        <w:t>13. Peters MDJ, Godfrey CM, Khalil H, et al. Guidance for conducting systematic scoping reviews. Int J Evid Based Healthc 2015;13:141-6</w:t>
      </w:r>
    </w:p>
    <w:p>
      <w:pPr>
        <w:ind w:hanging="720" w:left="720"/>
      </w:pPr>
      <w:r>
        <w:rPr>
          <w:rFonts w:ascii="Arial" w:hAnsi="Arial"/>
          <w:sz w:val="18"/>
        </w:rPr>
        <w:t>14. Tricco AC, Lillie E, Zarin W, et al. PRISMA-ScR. Ann Intern Med 2018;169:467-73</w:t>
      </w:r>
    </w:p>
    <w:p>
      <w:pPr>
        <w:ind w:hanging="720" w:left="720"/>
      </w:pPr>
      <w:r>
        <w:rPr>
          <w:rFonts w:ascii="Arial" w:hAnsi="Arial"/>
          <w:sz w:val="18"/>
        </w:rPr>
        <w:t>15. Rai S, Jaisani MR, Dongol A, Acharya P. Cryoanesthesia vs topical anesthetic gel for palatal injections. J Dent Anesth Pain Med 2024;24:91-9</w:t>
      </w:r>
    </w:p>
    <w:p>
      <w:pPr>
        <w:ind w:hanging="720" w:left="720"/>
      </w:pPr>
      <w:r>
        <w:rPr>
          <w:rFonts w:ascii="Arial" w:hAnsi="Arial"/>
          <w:sz w:val="18"/>
        </w:rPr>
        <w:t>16. Hindocha N, Manhem F, Backryd E, Bagesund M. Ice vs lidocaine 5% gel for oral mucosa. BMC Anesthesiol 2019;19:227</w:t>
      </w:r>
    </w:p>
    <w:p>
      <w:pPr>
        <w:ind w:hanging="720" w:left="720"/>
      </w:pPr>
      <w:r>
        <w:rPr>
          <w:rFonts w:ascii="Arial" w:hAnsi="Arial"/>
          <w:sz w:val="18"/>
        </w:rPr>
        <w:t>17. Abbasi H, Sohail K, Sarwar R, et al. Cryoanesthesia with ethyl chloride spray vs 5% lidocaine gel. J Oral Dis Diagn Ther 2023</w:t>
      </w:r>
    </w:p>
    <w:p>
      <w:pPr>
        <w:ind w:hanging="720" w:left="720"/>
      </w:pPr>
      <w:r>
        <w:rPr>
          <w:rFonts w:ascii="Arial" w:hAnsi="Arial"/>
          <w:sz w:val="18"/>
        </w:rPr>
        <w:t>18. Tirupathi S, Rajasekhar S. Precooling on pain during local anesthesia in children: SR. J Dent Anesth Pain Med 2020;20:119-27</w:t>
      </w:r>
    </w:p>
    <w:p>
      <w:pPr>
        <w:ind w:hanging="720" w:left="720"/>
      </w:pPr>
      <w:r>
        <w:rPr>
          <w:rFonts w:ascii="Arial" w:hAnsi="Arial"/>
          <w:sz w:val="18"/>
        </w:rPr>
        <w:t>19. Honaje NV, et al. Precooling vs topical anesthetic gel: SR and MA. Dent J Adv Stud 2024</w:t>
      </w:r>
    </w:p>
    <w:p>
      <w:pPr>
        <w:ind w:hanging="720" w:left="720"/>
      </w:pPr>
      <w:r>
        <w:rPr>
          <w:rFonts w:ascii="Arial" w:hAnsi="Arial"/>
          <w:sz w:val="18"/>
        </w:rPr>
        <w:t>20. Wang L, Fang L, Zhou Y, et al. Vapocoolant spray for vascular puncture: SR and MA. PLoS One 2023;18:e0279463</w:t>
      </w:r>
    </w:p>
    <w:p>
      <w:pPr>
        <w:ind w:hanging="720" w:left="720"/>
      </w:pPr>
      <w:r>
        <w:rPr>
          <w:rFonts w:ascii="Arial" w:hAnsi="Arial"/>
          <w:sz w:val="18"/>
        </w:rPr>
        <w:t>21. Griffith RJ, et al. Vapocoolants for intravenous cannulation. Cochrane Database Syst Rev 2016;(4):CD009484</w:t>
      </w:r>
    </w:p>
    <w:p>
      <w:pPr>
        <w:ind w:hanging="720" w:left="720"/>
      </w:pPr>
      <w:r>
        <w:rPr>
          <w:rFonts w:ascii="Arial" w:hAnsi="Arial"/>
          <w:sz w:val="18"/>
        </w:rPr>
        <w:t>22. BMC Anesthesiology. Venipuncture pain in children: NMA. BMC Anesthesiol 2025;25:115</w:t>
      </w:r>
    </w:p>
    <w:p>
      <w:pPr>
        <w:ind w:hanging="720" w:left="720"/>
      </w:pPr>
      <w:r>
        <w:rPr>
          <w:rFonts w:ascii="Arial" w:hAnsi="Arial"/>
          <w:sz w:val="18"/>
        </w:rPr>
        <w:t>23. Park HJ, Kim DY, Ahn HY. Cryoanalgesia for postsurgical pain: SR and MA. Ann Med Surg 2021;69:102689</w:t>
      </w:r>
    </w:p>
    <w:p>
      <w:pPr>
        <w:ind w:hanging="720" w:left="720"/>
      </w:pPr>
      <w:r>
        <w:rPr>
          <w:rFonts w:ascii="Arial" w:hAnsi="Arial"/>
          <w:sz w:val="18"/>
        </w:rPr>
        <w:t>24. Cha PI, et al. Intercostal cryoneurolysis for chest wall pain: SR. Trauma Surg Acute Care Open 2021;6:e000690</w:t>
      </w:r>
    </w:p>
    <w:p>
      <w:pPr>
        <w:ind w:hanging="720" w:left="720"/>
      </w:pPr>
      <w:r>
        <w:rPr>
          <w:rFonts w:ascii="Arial" w:hAnsi="Arial"/>
          <w:sz w:val="18"/>
        </w:rPr>
        <w:t>25. J Thorac Cardiovasc Surg. Cryoablation of intercostal nerves in VATS. 2025;169:1375-82</w:t>
      </w:r>
    </w:p>
    <w:p>
      <w:pPr>
        <w:ind w:hanging="720" w:left="720"/>
      </w:pPr>
      <w:r>
        <w:rPr>
          <w:rFonts w:ascii="Arial" w:hAnsi="Arial"/>
          <w:sz w:val="18"/>
        </w:rPr>
        <w:t>26. BMJ Open. ICE trial protocol: cryoablation vs epidural for Nuss repair. 2024;14:e081392</w:t>
      </w:r>
    </w:p>
    <w:p>
      <w:pPr>
        <w:ind w:hanging="720" w:left="720"/>
      </w:pPr>
      <w:r>
        <w:rPr>
          <w:rFonts w:ascii="Arial" w:hAnsi="Arial"/>
          <w:sz w:val="18"/>
        </w:rPr>
        <w:t>27. Finneran JJ, et al. Percutaneous cryoneurolysis for rib fracture pain. Anesthesiology 2025;142:532-45</w:t>
      </w:r>
    </w:p>
    <w:p>
      <w:pPr>
        <w:ind w:hanging="720" w:left="720"/>
      </w:pPr>
      <w:r>
        <w:rPr>
          <w:rFonts w:ascii="Arial" w:hAnsi="Arial"/>
          <w:sz w:val="18"/>
        </w:rPr>
        <w:t>28. Miller DL, et al. Intercostal nerve cryoablation during lobectomy. Pain Ther 2025;14:317-28</w:t>
      </w:r>
    </w:p>
    <w:p>
      <w:pPr>
        <w:ind w:hanging="720" w:left="720"/>
      </w:pPr>
      <w:r>
        <w:rPr>
          <w:rFonts w:ascii="Arial" w:hAnsi="Arial"/>
          <w:sz w:val="18"/>
        </w:rPr>
        <w:t>29. Swisher MW, et al. Cryoneurolysis for TKA analgesia. Pain Ther 2022;11:1299-307</w:t>
      </w:r>
    </w:p>
    <w:p>
      <w:pPr>
        <w:ind w:hanging="720" w:left="720"/>
      </w:pPr>
      <w:r>
        <w:rPr>
          <w:rFonts w:ascii="Arial" w:hAnsi="Arial"/>
          <w:sz w:val="18"/>
        </w:rPr>
        <w:t>30. Radnovich R, et al. Cryoneurolysis before TKA. J Arthroplasty 2021;36:1590-8</w:t>
      </w:r>
    </w:p>
    <w:p>
      <w:pPr>
        <w:ind w:hanging="720" w:left="720"/>
      </w:pPr>
      <w:r>
        <w:rPr>
          <w:rFonts w:ascii="Arial" w:hAnsi="Arial"/>
          <w:sz w:val="18"/>
        </w:rPr>
        <w:t>31. Roongpisuthipong W, et al. Ice packs vs lidocaine-prilocaine for laser hair removal. J Am Acad Dermatol 2023;88:617-22</w:t>
      </w:r>
    </w:p>
    <w:p>
      <w:pPr>
        <w:ind w:hanging="720" w:left="720"/>
      </w:pPr>
      <w:r>
        <w:rPr>
          <w:rFonts w:ascii="Arial" w:hAnsi="Arial"/>
          <w:sz w:val="18"/>
        </w:rPr>
        <w:t>32. Page MJ, et al. The PRISMA 2020 statement. BMJ 2021;372:n71</w:t>
      </w:r>
    </w:p>
    <w:p>
      <w:pPr>
        <w:ind w:hanging="720" w:left="720"/>
      </w:pPr>
      <w:r>
        <w:rPr>
          <w:rFonts w:ascii="Arial" w:hAnsi="Arial"/>
          <w:sz w:val="18"/>
        </w:rPr>
        <w:t>33. Santhireswaran A, et al. Supply chain disruptions and drug utilization: scoping review. Pharmacoepidemiol Drug Saf 2025;34:e70178</w:t>
      </w:r>
    </w:p>
    <w:p>
      <w:pPr>
        <w:ind w:hanging="720" w:left="720"/>
      </w:pPr>
      <w:r>
        <w:rPr>
          <w:rFonts w:ascii="Arial" w:hAnsi="Arial"/>
          <w:sz w:val="18"/>
        </w:rPr>
        <w:t>34. American College of Physicians. Bolstering the medication supply chain. Ann Intern Med 2025</w:t>
      </w:r>
    </w:p>
    <w:p>
      <w:pPr>
        <w:ind w:hanging="720" w:left="720"/>
      </w:pPr>
      <w:r>
        <w:rPr>
          <w:rFonts w:ascii="Arial" w:hAnsi="Arial"/>
          <w:sz w:val="18"/>
        </w:rPr>
        <w:t>35. Fox E. Drug shortages in anesthesia. September 2024.</w:t>
      </w:r>
    </w:p>
    <w:p>
      <w:r>
        <w:br w:type="page"/>
      </w:r>
    </w:p>
    <w:p>
      <w:pPr>
        <w:pStyle w:val="Heading1"/>
      </w:pPr>
      <w:r>
        <w:rPr>
          <w:color w:val="000000"/>
        </w:rPr>
        <w:t>Tables</w:t>
      </w:r>
    </w:p>
    <w:p>
      <w:pPr>
        <w:pStyle w:val="Heading2"/>
      </w:pPr>
      <w:r>
        <w:rPr>
          <w:color w:val="000000"/>
        </w:rPr>
        <w:t>Table 1. Evidence summary by clinical domain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Domain</w:t>
            </w:r>
          </w:p>
        </w:tc>
        <w:tc>
          <w:tcPr>
            <w:tcW w:type="dxa" w:w="2160"/>
          </w:tcPr>
          <w:p>
            <w:r>
              <w:rPr>
                <w:rFonts w:ascii="Arial" w:hAnsi="Arial"/>
                <w:b/>
                <w:sz w:val="18"/>
              </w:rPr>
              <w:t>Studies</w:t>
            </w:r>
          </w:p>
        </w:tc>
        <w:tc>
          <w:tcPr>
            <w:tcW w:type="dxa" w:w="2160"/>
          </w:tcPr>
          <w:p>
            <w:r>
              <w:rPr>
                <w:rFonts w:ascii="Arial" w:hAnsi="Arial"/>
                <w:b/>
                <w:sz w:val="18"/>
              </w:rPr>
              <w:t>RCTs</w:t>
            </w:r>
          </w:p>
        </w:tc>
        <w:tc>
          <w:tcPr>
            <w:tcW w:type="dxa" w:w="2160"/>
          </w:tcPr>
          <w:p>
            <w:r>
              <w:rPr>
                <w:rFonts w:ascii="Arial" w:hAnsi="Arial"/>
                <w:b/>
                <w:sz w:val="18"/>
              </w:rPr>
              <w:t>Key finding</w:t>
            </w:r>
          </w:p>
        </w:tc>
      </w:tr>
      <w:tr>
        <w:tc>
          <w:tcPr>
            <w:tcW w:type="dxa" w:w="2160"/>
          </w:tcPr>
          <w:p>
            <w:r>
              <w:rPr>
                <w:rFonts w:ascii="Arial" w:hAnsi="Arial"/>
                <w:sz w:val="18"/>
              </w:rPr>
              <w:t>Dental/oral</w:t>
            </w:r>
          </w:p>
        </w:tc>
        <w:tc>
          <w:tcPr>
            <w:tcW w:type="dxa" w:w="2160"/>
          </w:tcPr>
          <w:p>
            <w:r>
              <w:rPr>
                <w:rFonts w:ascii="Arial" w:hAnsi="Arial"/>
                <w:sz w:val="18"/>
              </w:rPr>
              <w:t>14</w:t>
            </w:r>
          </w:p>
        </w:tc>
        <w:tc>
          <w:tcPr>
            <w:tcW w:type="dxa" w:w="2160"/>
          </w:tcPr>
          <w:p>
            <w:r>
              <w:rPr>
                <w:rFonts w:ascii="Arial" w:hAnsi="Arial"/>
                <w:sz w:val="18"/>
              </w:rPr>
              <w:t>11</w:t>
            </w:r>
          </w:p>
        </w:tc>
        <w:tc>
          <w:tcPr>
            <w:tcW w:type="dxa" w:w="2160"/>
          </w:tcPr>
          <w:p>
            <w:r>
              <w:rPr>
                <w:rFonts w:ascii="Arial" w:hAnsi="Arial"/>
                <w:sz w:val="18"/>
              </w:rPr>
              <w:t>Ice non-inferior to topical LA for pre-injection analgesia</w:t>
            </w:r>
          </w:p>
        </w:tc>
      </w:tr>
      <w:tr>
        <w:tc>
          <w:tcPr>
            <w:tcW w:type="dxa" w:w="2160"/>
          </w:tcPr>
          <w:p>
            <w:r>
              <w:rPr>
                <w:rFonts w:ascii="Arial" w:hAnsi="Arial"/>
                <w:sz w:val="18"/>
              </w:rPr>
              <w:t>Vascular access</w:t>
            </w:r>
          </w:p>
        </w:tc>
        <w:tc>
          <w:tcPr>
            <w:tcW w:type="dxa" w:w="2160"/>
          </w:tcPr>
          <w:p>
            <w:r>
              <w:rPr>
                <w:rFonts w:ascii="Arial" w:hAnsi="Arial"/>
                <w:sz w:val="18"/>
              </w:rPr>
              <w:t>12</w:t>
            </w:r>
          </w:p>
        </w:tc>
        <w:tc>
          <w:tcPr>
            <w:tcW w:type="dxa" w:w="2160"/>
          </w:tcPr>
          <w:p>
            <w:r>
              <w:rPr>
                <w:rFonts w:ascii="Arial" w:hAnsi="Arial"/>
                <w:sz w:val="18"/>
              </w:rPr>
              <w:t>7</w:t>
            </w:r>
          </w:p>
        </w:tc>
        <w:tc>
          <w:tcPr>
            <w:tcW w:type="dxa" w:w="2160"/>
          </w:tcPr>
          <w:p>
            <w:r>
              <w:rPr>
                <w:rFonts w:ascii="Arial" w:hAnsi="Arial"/>
                <w:sz w:val="18"/>
              </w:rPr>
              <w:t>Vapocoolant effective in adults (SMD -0.65), not in children</w:t>
            </w:r>
          </w:p>
        </w:tc>
      </w:tr>
      <w:tr>
        <w:tc>
          <w:tcPr>
            <w:tcW w:type="dxa" w:w="2160"/>
          </w:tcPr>
          <w:p>
            <w:r>
              <w:rPr>
                <w:rFonts w:ascii="Arial" w:hAnsi="Arial"/>
                <w:sz w:val="18"/>
              </w:rPr>
              <w:t>Thoracic surgery</w:t>
            </w:r>
          </w:p>
        </w:tc>
        <w:tc>
          <w:tcPr>
            <w:tcW w:type="dxa" w:w="2160"/>
          </w:tcPr>
          <w:p>
            <w:r>
              <w:rPr>
                <w:rFonts w:ascii="Arial" w:hAnsi="Arial"/>
                <w:sz w:val="18"/>
              </w:rPr>
              <w:t>11</w:t>
            </w:r>
          </w:p>
        </w:tc>
        <w:tc>
          <w:tcPr>
            <w:tcW w:type="dxa" w:w="2160"/>
          </w:tcPr>
          <w:p>
            <w:r>
              <w:rPr>
                <w:rFonts w:ascii="Arial" w:hAnsi="Arial"/>
                <w:sz w:val="18"/>
              </w:rPr>
              <w:t>4</w:t>
            </w:r>
          </w:p>
        </w:tc>
        <w:tc>
          <w:tcPr>
            <w:tcW w:type="dxa" w:w="2160"/>
          </w:tcPr>
          <w:p>
            <w:r>
              <w:rPr>
                <w:rFonts w:ascii="Arial" w:hAnsi="Arial"/>
                <w:sz w:val="18"/>
              </w:rPr>
              <w:t>Cryoneurolysis reduces opioid use; 1 RCT vs LA nerve block</w:t>
            </w:r>
          </w:p>
        </w:tc>
      </w:tr>
      <w:tr>
        <w:tc>
          <w:tcPr>
            <w:tcW w:type="dxa" w:w="2160"/>
          </w:tcPr>
          <w:p>
            <w:r>
              <w:rPr>
                <w:rFonts w:ascii="Arial" w:hAnsi="Arial"/>
                <w:sz w:val="18"/>
              </w:rPr>
              <w:t>Orthopaedic</w:t>
            </w:r>
          </w:p>
        </w:tc>
        <w:tc>
          <w:tcPr>
            <w:tcW w:type="dxa" w:w="2160"/>
          </w:tcPr>
          <w:p>
            <w:r>
              <w:rPr>
                <w:rFonts w:ascii="Arial" w:hAnsi="Arial"/>
                <w:sz w:val="18"/>
              </w:rPr>
              <w:t>6</w:t>
            </w:r>
          </w:p>
        </w:tc>
        <w:tc>
          <w:tcPr>
            <w:tcW w:type="dxa" w:w="2160"/>
          </w:tcPr>
          <w:p>
            <w:r>
              <w:rPr>
                <w:rFonts w:ascii="Arial" w:hAnsi="Arial"/>
                <w:sz w:val="18"/>
              </w:rPr>
              <w:t>3</w:t>
            </w:r>
          </w:p>
        </w:tc>
        <w:tc>
          <w:tcPr>
            <w:tcW w:type="dxa" w:w="2160"/>
          </w:tcPr>
          <w:p>
            <w:r>
              <w:rPr>
                <w:rFonts w:ascii="Arial" w:hAnsi="Arial"/>
                <w:sz w:val="18"/>
              </w:rPr>
              <w:t>Pilot data for TKA; no comparison with LA nerve blocks</w:t>
            </w:r>
          </w:p>
        </w:tc>
      </w:tr>
      <w:tr>
        <w:tc>
          <w:tcPr>
            <w:tcW w:type="dxa" w:w="2160"/>
          </w:tcPr>
          <w:p>
            <w:r>
              <w:rPr>
                <w:rFonts w:ascii="Arial" w:hAnsi="Arial"/>
                <w:sz w:val="18"/>
              </w:rPr>
              <w:t>Dermatology</w:t>
            </w:r>
          </w:p>
        </w:tc>
        <w:tc>
          <w:tcPr>
            <w:tcW w:type="dxa" w:w="2160"/>
          </w:tcPr>
          <w:p>
            <w:r>
              <w:rPr>
                <w:rFonts w:ascii="Arial" w:hAnsi="Arial"/>
                <w:sz w:val="18"/>
              </w:rPr>
              <w:t>4</w:t>
            </w:r>
          </w:p>
        </w:tc>
        <w:tc>
          <w:tcPr>
            <w:tcW w:type="dxa" w:w="2160"/>
          </w:tcPr>
          <w:p>
            <w:r>
              <w:rPr>
                <w:rFonts w:ascii="Arial" w:hAnsi="Arial"/>
                <w:sz w:val="18"/>
              </w:rPr>
              <w:t>3</w:t>
            </w:r>
          </w:p>
        </w:tc>
        <w:tc>
          <w:tcPr>
            <w:tcW w:type="dxa" w:w="2160"/>
          </w:tcPr>
          <w:p>
            <w:r>
              <w:rPr>
                <w:rFonts w:ascii="Arial" w:hAnsi="Arial"/>
                <w:sz w:val="18"/>
              </w:rPr>
              <w:t>Ice comparable to EMLA; patient preference for ice</w:t>
            </w:r>
          </w:p>
        </w:tc>
      </w:tr>
      <w:tr>
        <w:tc>
          <w:tcPr>
            <w:tcW w:type="dxa" w:w="2160"/>
          </w:tcPr>
          <w:p>
            <w:r>
              <w:rPr>
                <w:rFonts w:ascii="Arial" w:hAnsi="Arial"/>
                <w:sz w:val="18"/>
              </w:rPr>
              <w:t>Total</w:t>
            </w:r>
          </w:p>
        </w:tc>
        <w:tc>
          <w:tcPr>
            <w:tcW w:type="dxa" w:w="2160"/>
          </w:tcPr>
          <w:p>
            <w:r>
              <w:rPr>
                <w:rFonts w:ascii="Arial" w:hAnsi="Arial"/>
                <w:sz w:val="18"/>
              </w:rPr>
              <w:t>47</w:t>
            </w:r>
          </w:p>
        </w:tc>
        <w:tc>
          <w:tcPr>
            <w:tcW w:type="dxa" w:w="2160"/>
          </w:tcPr>
          <w:p>
            <w:r>
              <w:rPr>
                <w:rFonts w:ascii="Arial" w:hAnsi="Arial"/>
                <w:sz w:val="18"/>
              </w:rPr>
              <w:t>28</w:t>
            </w:r>
          </w:p>
        </w:tc>
        <w:tc>
          <w:tcPr>
            <w:tcW w:type="dxa" w:w="2160"/>
          </w:tcPr>
          <w:p>
            <w:r>
              <w:rPr>
                <w:rFonts w:ascii="Arial" w:hAnsi="Arial"/>
                <w:sz w:val="18"/>
              </w:rPr>
            </w:r>
          </w:p>
        </w:tc>
      </w:tr>
    </w:tbl>
    <w:p/>
    <w:p>
      <w:pPr>
        <w:pStyle w:val="Heading2"/>
      </w:pPr>
      <w:r>
        <w:rPr>
          <w:color w:val="000000"/>
        </w:rPr>
        <w:t>Table 2. Tiered implementation framework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Tier</w:t>
            </w:r>
          </w:p>
        </w:tc>
        <w:tc>
          <w:tcPr>
            <w:tcW w:type="dxa" w:w="1728"/>
          </w:tcPr>
          <w:p>
            <w:r>
              <w:rPr>
                <w:rFonts w:ascii="Arial" w:hAnsi="Arial"/>
                <w:b/>
                <w:sz w:val="18"/>
              </w:rPr>
              <w:t>Application</w:t>
            </w:r>
          </w:p>
        </w:tc>
        <w:tc>
          <w:tcPr>
            <w:tcW w:type="dxa" w:w="1728"/>
          </w:tcPr>
          <w:p>
            <w:r>
              <w:rPr>
                <w:rFonts w:ascii="Arial" w:hAnsi="Arial"/>
                <w:b/>
                <w:sz w:val="18"/>
              </w:rPr>
              <w:t>Modality</w:t>
            </w:r>
          </w:p>
        </w:tc>
        <w:tc>
          <w:tcPr>
            <w:tcW w:type="dxa" w:w="1728"/>
          </w:tcPr>
          <w:p>
            <w:r>
              <w:rPr>
                <w:rFonts w:ascii="Arial" w:hAnsi="Arial"/>
                <w:b/>
                <w:sz w:val="18"/>
              </w:rPr>
              <w:t>Evidence</w:t>
            </w:r>
          </w:p>
        </w:tc>
        <w:tc>
          <w:tcPr>
            <w:tcW w:type="dxa" w:w="1728"/>
          </w:tcPr>
          <w:p>
            <w:r>
              <w:rPr>
                <w:rFonts w:ascii="Arial" w:hAnsi="Arial"/>
                <w:b/>
                <w:sz w:val="18"/>
              </w:rPr>
              <w:t>Readiness</w:t>
            </w:r>
          </w:p>
        </w:tc>
      </w:tr>
      <w:tr>
        <w:tc>
          <w:tcPr>
            <w:tcW w:type="dxa" w:w="1728"/>
          </w:tcPr>
          <w:p>
            <w:r>
              <w:rPr>
                <w:rFonts w:ascii="Arial" w:hAnsi="Arial"/>
                <w:sz w:val="18"/>
              </w:rPr>
              <w:t>1 (Strong)</w:t>
            </w:r>
          </w:p>
        </w:tc>
        <w:tc>
          <w:tcPr>
            <w:tcW w:type="dxa" w:w="1728"/>
          </w:tcPr>
          <w:p>
            <w:r>
              <w:rPr>
                <w:rFonts w:ascii="Arial" w:hAnsi="Arial"/>
                <w:sz w:val="18"/>
              </w:rPr>
              <w:t>Dental pre-injection</w:t>
            </w:r>
          </w:p>
        </w:tc>
        <w:tc>
          <w:tcPr>
            <w:tcW w:type="dxa" w:w="1728"/>
          </w:tcPr>
          <w:p>
            <w:r>
              <w:rPr>
                <w:rFonts w:ascii="Arial" w:hAnsi="Arial"/>
                <w:sz w:val="18"/>
              </w:rPr>
              <w:t>Ice (2 min)</w:t>
            </w:r>
          </w:p>
        </w:tc>
        <w:tc>
          <w:tcPr>
            <w:tcW w:type="dxa" w:w="1728"/>
          </w:tcPr>
          <w:p>
            <w:r>
              <w:rPr>
                <w:rFonts w:ascii="Arial" w:hAnsi="Arial"/>
                <w:sz w:val="18"/>
              </w:rPr>
              <w:t>Multiple RCTs, 3 SRs</w:t>
            </w:r>
          </w:p>
        </w:tc>
        <w:tc>
          <w:tcPr>
            <w:tcW w:type="dxa" w:w="1728"/>
          </w:tcPr>
          <w:p>
            <w:r>
              <w:rPr>
                <w:rFonts w:ascii="Arial" w:hAnsi="Arial"/>
                <w:sz w:val="18"/>
              </w:rPr>
              <w:t>Immediate</w:t>
            </w:r>
          </w:p>
        </w:tc>
      </w:tr>
      <w:tr>
        <w:tc>
          <w:tcPr>
            <w:tcW w:type="dxa" w:w="1728"/>
          </w:tcPr>
          <w:p>
            <w:r>
              <w:rPr>
                <w:rFonts w:ascii="Arial" w:hAnsi="Arial"/>
                <w:sz w:val="18"/>
              </w:rPr>
              <w:t>1 (Strong)</w:t>
            </w:r>
          </w:p>
        </w:tc>
        <w:tc>
          <w:tcPr>
            <w:tcW w:type="dxa" w:w="1728"/>
          </w:tcPr>
          <w:p>
            <w:r>
              <w:rPr>
                <w:rFonts w:ascii="Arial" w:hAnsi="Arial"/>
                <w:sz w:val="18"/>
              </w:rPr>
              <w:t>Adult venepuncture</w:t>
            </w:r>
          </w:p>
        </w:tc>
        <w:tc>
          <w:tcPr>
            <w:tcW w:type="dxa" w:w="1728"/>
          </w:tcPr>
          <w:p>
            <w:r>
              <w:rPr>
                <w:rFonts w:ascii="Arial" w:hAnsi="Arial"/>
                <w:sz w:val="18"/>
              </w:rPr>
              <w:t>Vapocoolant spray</w:t>
            </w:r>
          </w:p>
        </w:tc>
        <w:tc>
          <w:tcPr>
            <w:tcW w:type="dxa" w:w="1728"/>
          </w:tcPr>
          <w:p>
            <w:r>
              <w:rPr>
                <w:rFonts w:ascii="Arial" w:hAnsi="Arial"/>
                <w:sz w:val="18"/>
              </w:rPr>
              <w:t>SR/MA (25 RCTs)</w:t>
            </w:r>
          </w:p>
        </w:tc>
        <w:tc>
          <w:tcPr>
            <w:tcW w:type="dxa" w:w="1728"/>
          </w:tcPr>
          <w:p>
            <w:r>
              <w:rPr>
                <w:rFonts w:ascii="Arial" w:hAnsi="Arial"/>
                <w:sz w:val="18"/>
              </w:rPr>
              <w:t>Immediate</w:t>
            </w:r>
          </w:p>
        </w:tc>
      </w:tr>
      <w:tr>
        <w:tc>
          <w:tcPr>
            <w:tcW w:type="dxa" w:w="1728"/>
          </w:tcPr>
          <w:p>
            <w:r>
              <w:rPr>
                <w:rFonts w:ascii="Arial" w:hAnsi="Arial"/>
                <w:sz w:val="18"/>
              </w:rPr>
              <w:t>2 (Moderate)</w:t>
            </w:r>
          </w:p>
        </w:tc>
        <w:tc>
          <w:tcPr>
            <w:tcW w:type="dxa" w:w="1728"/>
          </w:tcPr>
          <w:p>
            <w:r>
              <w:rPr>
                <w:rFonts w:ascii="Arial" w:hAnsi="Arial"/>
                <w:sz w:val="18"/>
              </w:rPr>
              <w:t>Dermatology</w:t>
            </w:r>
          </w:p>
        </w:tc>
        <w:tc>
          <w:tcPr>
            <w:tcW w:type="dxa" w:w="1728"/>
          </w:tcPr>
          <w:p>
            <w:r>
              <w:rPr>
                <w:rFonts w:ascii="Arial" w:hAnsi="Arial"/>
                <w:sz w:val="18"/>
              </w:rPr>
              <w:t>Ice packs</w:t>
            </w:r>
          </w:p>
        </w:tc>
        <w:tc>
          <w:tcPr>
            <w:tcW w:type="dxa" w:w="1728"/>
          </w:tcPr>
          <w:p>
            <w:r>
              <w:rPr>
                <w:rFonts w:ascii="Arial" w:hAnsi="Arial"/>
                <w:sz w:val="18"/>
              </w:rPr>
              <w:t>1 RCT</w:t>
            </w:r>
          </w:p>
        </w:tc>
        <w:tc>
          <w:tcPr>
            <w:tcW w:type="dxa" w:w="1728"/>
          </w:tcPr>
          <w:p>
            <w:r>
              <w:rPr>
                <w:rFonts w:ascii="Arial" w:hAnsi="Arial"/>
                <w:sz w:val="18"/>
              </w:rPr>
              <w:t>Feasible</w:t>
            </w:r>
          </w:p>
        </w:tc>
      </w:tr>
      <w:tr>
        <w:tc>
          <w:tcPr>
            <w:tcW w:type="dxa" w:w="1728"/>
          </w:tcPr>
          <w:p>
            <w:r>
              <w:rPr>
                <w:rFonts w:ascii="Arial" w:hAnsi="Arial"/>
                <w:sz w:val="18"/>
              </w:rPr>
              <w:t>2 (Moderate)</w:t>
            </w:r>
          </w:p>
        </w:tc>
        <w:tc>
          <w:tcPr>
            <w:tcW w:type="dxa" w:w="1728"/>
          </w:tcPr>
          <w:p>
            <w:r>
              <w:rPr>
                <w:rFonts w:ascii="Arial" w:hAnsi="Arial"/>
                <w:sz w:val="18"/>
              </w:rPr>
              <w:t>Thoracic surgery</w:t>
            </w:r>
          </w:p>
        </w:tc>
        <w:tc>
          <w:tcPr>
            <w:tcW w:type="dxa" w:w="1728"/>
          </w:tcPr>
          <w:p>
            <w:r>
              <w:rPr>
                <w:rFonts w:ascii="Arial" w:hAnsi="Arial"/>
                <w:sz w:val="18"/>
              </w:rPr>
              <w:t>Cryoneurolysis</w:t>
            </w:r>
          </w:p>
        </w:tc>
        <w:tc>
          <w:tcPr>
            <w:tcW w:type="dxa" w:w="1728"/>
          </w:tcPr>
          <w:p>
            <w:r>
              <w:rPr>
                <w:rFonts w:ascii="Arial" w:hAnsi="Arial"/>
                <w:sz w:val="18"/>
              </w:rPr>
              <w:t>2 SRs, 4 RCTs</w:t>
            </w:r>
          </w:p>
        </w:tc>
        <w:tc>
          <w:tcPr>
            <w:tcW w:type="dxa" w:w="1728"/>
          </w:tcPr>
          <w:p>
            <w:r>
              <w:rPr>
                <w:rFonts w:ascii="Arial" w:hAnsi="Arial"/>
                <w:sz w:val="18"/>
              </w:rPr>
              <w:t>Equipment needed</w:t>
            </w:r>
          </w:p>
        </w:tc>
      </w:tr>
      <w:tr>
        <w:tc>
          <w:tcPr>
            <w:tcW w:type="dxa" w:w="1728"/>
          </w:tcPr>
          <w:p>
            <w:r>
              <w:rPr>
                <w:rFonts w:ascii="Arial" w:hAnsi="Arial"/>
                <w:sz w:val="18"/>
              </w:rPr>
              <w:t>3 (Research)</w:t>
            </w:r>
          </w:p>
        </w:tc>
        <w:tc>
          <w:tcPr>
            <w:tcW w:type="dxa" w:w="1728"/>
          </w:tcPr>
          <w:p>
            <w:r>
              <w:rPr>
                <w:rFonts w:ascii="Arial" w:hAnsi="Arial"/>
                <w:sz w:val="18"/>
              </w:rPr>
              <w:t>Nerve block alternative</w:t>
            </w:r>
          </w:p>
        </w:tc>
        <w:tc>
          <w:tcPr>
            <w:tcW w:type="dxa" w:w="1728"/>
          </w:tcPr>
          <w:p>
            <w:r>
              <w:rPr>
                <w:rFonts w:ascii="Arial" w:hAnsi="Arial"/>
                <w:sz w:val="18"/>
              </w:rPr>
              <w:t>Cryoneurolysis</w:t>
            </w:r>
          </w:p>
        </w:tc>
        <w:tc>
          <w:tcPr>
            <w:tcW w:type="dxa" w:w="1728"/>
          </w:tcPr>
          <w:p>
            <w:r>
              <w:rPr>
                <w:rFonts w:ascii="Arial" w:hAnsi="Arial"/>
                <w:sz w:val="18"/>
              </w:rPr>
              <w:t>2 pilot RCTs</w:t>
            </w:r>
          </w:p>
        </w:tc>
        <w:tc>
          <w:tcPr>
            <w:tcW w:type="dxa" w:w="1728"/>
          </w:tcPr>
          <w:p>
            <w:r>
              <w:rPr>
                <w:rFonts w:ascii="Arial" w:hAnsi="Arial"/>
                <w:sz w:val="18"/>
              </w:rPr>
              <w:t>Trials needed</w:t>
            </w:r>
          </w:p>
        </w:tc>
      </w:tr>
    </w:tbl>
    <w:p/>
    <w:p>
      <w:pPr>
        <w:pStyle w:val="Heading2"/>
      </w:pPr>
      <w:r>
        <w:rPr>
          <w:color w:val="000000"/>
        </w:rPr>
        <w:t>Table 3. Recommended research priorities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Priority</w:t>
            </w:r>
          </w:p>
        </w:tc>
        <w:tc>
          <w:tcPr>
            <w:tcW w:type="dxa" w:w="2160"/>
          </w:tcPr>
          <w:p>
            <w:r>
              <w:rPr>
                <w:rFonts w:ascii="Arial" w:hAnsi="Arial"/>
                <w:b/>
                <w:sz w:val="18"/>
              </w:rPr>
              <w:t>Study design</w:t>
            </w:r>
          </w:p>
        </w:tc>
        <w:tc>
          <w:tcPr>
            <w:tcW w:type="dxa" w:w="2160"/>
          </w:tcPr>
          <w:p>
            <w:r>
              <w:rPr>
                <w:rFonts w:ascii="Arial" w:hAnsi="Arial"/>
                <w:b/>
                <w:sz w:val="18"/>
              </w:rPr>
              <w:t>Setting</w:t>
            </w:r>
          </w:p>
        </w:tc>
        <w:tc>
          <w:tcPr>
            <w:tcW w:type="dxa" w:w="2160"/>
          </w:tcPr>
          <w:p>
            <w:r>
              <w:rPr>
                <w:rFonts w:ascii="Arial" w:hAnsi="Arial"/>
                <w:b/>
                <w:sz w:val="18"/>
              </w:rPr>
              <w:t>Comparison</w:t>
            </w:r>
          </w:p>
        </w:tc>
      </w:tr>
      <w:tr>
        <w:tc>
          <w:tcPr>
            <w:tcW w:type="dxa" w:w="2160"/>
          </w:tcPr>
          <w:p>
            <w:r>
              <w:rPr>
                <w:rFonts w:ascii="Arial" w:hAnsi="Arial"/>
                <w:sz w:val="18"/>
              </w:rPr>
              <w:t>1</w:t>
            </w:r>
          </w:p>
        </w:tc>
        <w:tc>
          <w:tcPr>
            <w:tcW w:type="dxa" w:w="2160"/>
          </w:tcPr>
          <w:p>
            <w:r>
              <w:rPr>
                <w:rFonts w:ascii="Arial" w:hAnsi="Arial"/>
                <w:sz w:val="18"/>
              </w:rPr>
              <w:t>Pragmatic RCT</w:t>
            </w:r>
          </w:p>
        </w:tc>
        <w:tc>
          <w:tcPr>
            <w:tcW w:type="dxa" w:w="2160"/>
          </w:tcPr>
          <w:p>
            <w:r>
              <w:rPr>
                <w:rFonts w:ascii="Arial" w:hAnsi="Arial"/>
                <w:sz w:val="18"/>
              </w:rPr>
              <w:t>Thoracic surgery</w:t>
            </w:r>
          </w:p>
        </w:tc>
        <w:tc>
          <w:tcPr>
            <w:tcW w:type="dxa" w:w="2160"/>
          </w:tcPr>
          <w:p>
            <w:r>
              <w:rPr>
                <w:rFonts w:ascii="Arial" w:hAnsi="Arial"/>
                <w:sz w:val="18"/>
              </w:rPr>
              <w:t>Intercostal cryoneurolysis vs paravertebral block</w:t>
            </w:r>
          </w:p>
        </w:tc>
      </w:tr>
      <w:tr>
        <w:tc>
          <w:tcPr>
            <w:tcW w:type="dxa" w:w="2160"/>
          </w:tcPr>
          <w:p>
            <w:r>
              <w:rPr>
                <w:rFonts w:ascii="Arial" w:hAnsi="Arial"/>
                <w:sz w:val="18"/>
              </w:rPr>
              <w:t>2</w:t>
            </w:r>
          </w:p>
        </w:tc>
        <w:tc>
          <w:tcPr>
            <w:tcW w:type="dxa" w:w="2160"/>
          </w:tcPr>
          <w:p>
            <w:r>
              <w:rPr>
                <w:rFonts w:ascii="Arial" w:hAnsi="Arial"/>
                <w:sz w:val="18"/>
              </w:rPr>
              <w:t>Pragmatic RCT</w:t>
            </w:r>
          </w:p>
        </w:tc>
        <w:tc>
          <w:tcPr>
            <w:tcW w:type="dxa" w:w="2160"/>
          </w:tcPr>
          <w:p>
            <w:r>
              <w:rPr>
                <w:rFonts w:ascii="Arial" w:hAnsi="Arial"/>
                <w:sz w:val="18"/>
              </w:rPr>
              <w:t>Knee arthroplasty</w:t>
            </w:r>
          </w:p>
        </w:tc>
        <w:tc>
          <w:tcPr>
            <w:tcW w:type="dxa" w:w="2160"/>
          </w:tcPr>
          <w:p>
            <w:r>
              <w:rPr>
                <w:rFonts w:ascii="Arial" w:hAnsi="Arial"/>
                <w:sz w:val="18"/>
              </w:rPr>
              <w:t>Genicular cryoneurolysis vs adductor canal block</w:t>
            </w:r>
          </w:p>
        </w:tc>
      </w:tr>
      <w:tr>
        <w:tc>
          <w:tcPr>
            <w:tcW w:type="dxa" w:w="2160"/>
          </w:tcPr>
          <w:p>
            <w:r>
              <w:rPr>
                <w:rFonts w:ascii="Arial" w:hAnsi="Arial"/>
                <w:sz w:val="18"/>
              </w:rPr>
              <w:t>3</w:t>
            </w:r>
          </w:p>
        </w:tc>
        <w:tc>
          <w:tcPr>
            <w:tcW w:type="dxa" w:w="2160"/>
          </w:tcPr>
          <w:p>
            <w:r>
              <w:rPr>
                <w:rFonts w:ascii="Arial" w:hAnsi="Arial"/>
                <w:sz w:val="18"/>
              </w:rPr>
              <w:t>Pragmatic RCT</w:t>
            </w:r>
          </w:p>
        </w:tc>
        <w:tc>
          <w:tcPr>
            <w:tcW w:type="dxa" w:w="2160"/>
          </w:tcPr>
          <w:p>
            <w:r>
              <w:rPr>
                <w:rFonts w:ascii="Arial" w:hAnsi="Arial"/>
                <w:sz w:val="18"/>
              </w:rPr>
              <w:t>Rib fractures</w:t>
            </w:r>
          </w:p>
        </w:tc>
        <w:tc>
          <w:tcPr>
            <w:tcW w:type="dxa" w:w="2160"/>
          </w:tcPr>
          <w:p>
            <w:r>
              <w:rPr>
                <w:rFonts w:ascii="Arial" w:hAnsi="Arial"/>
                <w:sz w:val="18"/>
              </w:rPr>
              <w:t>Cryoneurolysis vs intercostal nerve block</w:t>
            </w:r>
          </w:p>
        </w:tc>
      </w:tr>
      <w:tr>
        <w:tc>
          <w:tcPr>
            <w:tcW w:type="dxa" w:w="2160"/>
          </w:tcPr>
          <w:p>
            <w:r>
              <w:rPr>
                <w:rFonts w:ascii="Arial" w:hAnsi="Arial"/>
                <w:sz w:val="18"/>
              </w:rPr>
              <w:t>4</w:t>
            </w:r>
          </w:p>
        </w:tc>
        <w:tc>
          <w:tcPr>
            <w:tcW w:type="dxa" w:w="2160"/>
          </w:tcPr>
          <w:p>
            <w:r>
              <w:rPr>
                <w:rFonts w:ascii="Arial" w:hAnsi="Arial"/>
                <w:sz w:val="18"/>
              </w:rPr>
              <w:t>Feasibility study</w:t>
            </w:r>
          </w:p>
        </w:tc>
        <w:tc>
          <w:tcPr>
            <w:tcW w:type="dxa" w:w="2160"/>
          </w:tcPr>
          <w:p>
            <w:r>
              <w:rPr>
                <w:rFonts w:ascii="Arial" w:hAnsi="Arial"/>
                <w:sz w:val="18"/>
              </w:rPr>
              <w:t>Minor surgery</w:t>
            </w:r>
          </w:p>
        </w:tc>
        <w:tc>
          <w:tcPr>
            <w:tcW w:type="dxa" w:w="2160"/>
          </w:tcPr>
          <w:p>
            <w:r>
              <w:rPr>
                <w:rFonts w:ascii="Arial" w:hAnsi="Arial"/>
                <w:sz w:val="18"/>
              </w:rPr>
              <w:t>Cryoanalgesia for wound closure, biopsy</w:t>
            </w:r>
          </w:p>
        </w:tc>
      </w:tr>
      <w:tr>
        <w:tc>
          <w:tcPr>
            <w:tcW w:type="dxa" w:w="2160"/>
          </w:tcPr>
          <w:p>
            <w:r>
              <w:rPr>
                <w:rFonts w:ascii="Arial" w:hAnsi="Arial"/>
                <w:sz w:val="18"/>
              </w:rPr>
              <w:t>5</w:t>
            </w:r>
          </w:p>
        </w:tc>
        <w:tc>
          <w:tcPr>
            <w:tcW w:type="dxa" w:w="2160"/>
          </w:tcPr>
          <w:p>
            <w:r>
              <w:rPr>
                <w:rFonts w:ascii="Arial" w:hAnsi="Arial"/>
                <w:sz w:val="18"/>
              </w:rPr>
              <w:t>Health economic</w:t>
            </w:r>
          </w:p>
        </w:tc>
        <w:tc>
          <w:tcPr>
            <w:tcW w:type="dxa" w:w="2160"/>
          </w:tcPr>
          <w:p>
            <w:r>
              <w:rPr>
                <w:rFonts w:ascii="Arial" w:hAnsi="Arial"/>
                <w:sz w:val="18"/>
              </w:rPr>
              <w:t>System-level</w:t>
            </w:r>
          </w:p>
        </w:tc>
        <w:tc>
          <w:tcPr>
            <w:tcW w:type="dxa" w:w="2160"/>
          </w:tcPr>
          <w:p>
            <w:r>
              <w:rPr>
                <w:rFonts w:ascii="Arial" w:hAnsi="Arial"/>
                <w:sz w:val="18"/>
              </w:rPr>
              <w:t>Cost of cryoanalgesia vs shortage-related delays</w:t>
            </w:r>
          </w:p>
        </w:tc>
      </w:tr>
    </w:tbl>
    <w:p>
      <w:r>
        <w:br w:type="page"/>
      </w:r>
    </w:p>
    <w:p>
      <w:pPr>
        <w:pStyle w:val="Heading1"/>
      </w:pPr>
      <w:r>
        <w:rPr>
          <w:color w:val="000000"/>
        </w:rPr>
        <w:t>Figure Legends</w:t>
      </w:r>
    </w:p>
    <w:p>
      <w:r>
        <w:rPr>
          <w:rFonts w:ascii="Arial" w:hAnsi="Arial"/>
          <w:b w:val="0"/>
          <w:i/>
          <w:sz w:val="22"/>
        </w:rPr>
        <w:t>Figure 1. PRISMA-ScR flow diagram. [See accompanying PowerPoint file]</w:t>
      </w:r>
    </w:p>
    <w:p>
      <w:r>
        <w:rPr>
          <w:rFonts w:ascii="Arial" w:hAnsi="Arial"/>
          <w:b w:val="0"/>
          <w:i/>
          <w:sz w:val="22"/>
        </w:rPr>
        <w:t>Figure 2. Evidence map: cryoanalgesic modalities by clinical domain. [See accompanying PowerPoint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