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2"/>
        </w:rPr>
        <w:t>サプライチェーンの混乱時における局所麻酔薬の代替としての冷凍麻酔：スコーピングレビュー</w:t>
      </w:r>
    </w:p>
    <w:p/>
    <w:p>
      <w:pPr>
        <w:jc w:val="center"/>
      </w:pPr>
      <w:r>
        <w:rPr>
          <w:rFonts w:ascii="Times New Roman" w:hAnsi="Times New Roman"/>
          <w:b w:val="0"/>
          <w:i/>
          <w:sz w:val="22"/>
        </w:rPr>
        <w:t>Cryoanalgesia as an Alternative to Local Anaesthetic Drugs during Supply Chain Disruptions: A Scoping Review</w:t>
      </w:r>
    </w:p>
    <w:p/>
    <w:p>
      <w:r>
        <w:rPr>
          <w:rFonts w:ascii="Times New Roman" w:hAnsi="Times New Roman"/>
          <w:b w:val="0"/>
          <w:i w:val="0"/>
          <w:sz w:val="22"/>
        </w:rPr>
        <w:t>著者：［未定］</w:t>
      </w:r>
    </w:p>
    <w:p>
      <w:r>
        <w:rPr>
          <w:rFonts w:ascii="Times New Roman" w:hAnsi="Times New Roman"/>
          <w:b w:val="0"/>
          <w:i w:val="0"/>
          <w:sz w:val="22"/>
        </w:rPr>
        <w:t>所属：［未定］</w:t>
      </w:r>
    </w:p>
    <w:p>
      <w:r>
        <w:rPr>
          <w:rFonts w:ascii="Times New Roman" w:hAnsi="Times New Roman"/>
          <w:b w:val="0"/>
          <w:i w:val="0"/>
          <w:sz w:val="22"/>
        </w:rPr>
        <w:t>責任著者：［未定］</w:t>
      </w:r>
    </w:p>
    <w:p>
      <w:r>
        <w:rPr>
          <w:rFonts w:ascii="Times New Roman" w:hAnsi="Times New Roman"/>
          <w:b w:val="0"/>
          <w:i w:val="0"/>
          <w:sz w:val="22"/>
        </w:rPr>
        <w:t>本文語数：約4900語（英語原文換算）</w:t>
      </w:r>
    </w:p>
    <w:p>
      <w:r>
        <w:rPr>
          <w:rFonts w:ascii="Times New Roman" w:hAnsi="Times New Roman"/>
          <w:b w:val="0"/>
          <w:i w:val="0"/>
          <w:sz w:val="22"/>
        </w:rPr>
        <w:t>参考文献：62編</w:t>
      </w:r>
    </w:p>
    <w:p>
      <w:r>
        <w:rPr>
          <w:rFonts w:ascii="Times New Roman" w:hAnsi="Times New Roman"/>
          <w:b w:val="0"/>
          <w:i w:val="0"/>
          <w:sz w:val="22"/>
        </w:rPr>
        <w:t>表：4 | 図：2</w:t>
      </w:r>
    </w:p>
    <w:p>
      <w:r>
        <w:br w:type="page"/>
      </w:r>
    </w:p>
    <w:p>
      <w:pPr>
        <w:pStyle w:val="Heading1"/>
      </w:pPr>
      <w:r>
        <w:rPr>
          <w:color w:val="000000"/>
        </w:rPr>
        <w:t>構造化抄録</w:t>
      </w:r>
    </w:p>
    <w:p>
      <w:r>
        <w:rPr>
          <w:rFonts w:ascii="Times New Roman" w:hAnsi="Times New Roman"/>
          <w:b/>
          <w:sz w:val="22"/>
        </w:rPr>
        <w:t>背景：</w:t>
      </w:r>
      <w:r>
        <w:rPr>
          <w:rFonts w:ascii="Times New Roman" w:hAnsi="Times New Roman"/>
          <w:sz w:val="22"/>
        </w:rPr>
        <w:t>製造上の混乱、インド製薬施設におけるGCP違反、およびサプライチェーンの脆弱性に起因する局所麻酔薬の世界的不足は、代替鎮痛法の緊急の必要性を生じさせている。冷凍麻酔（クライオアナルジェシア）——疼痛緩和のための低温の適用——は、薬剤に依存しない代替手段となる可能性がある。本研究では、冷凍麻酔と局所麻酔薬を比較する既存のエビデンスを臨床領域横断的にマッピングするスコーピングレビューを実施した。</w:t>
      </w:r>
    </w:p>
    <w:p>
      <w:r>
        <w:rPr>
          <w:rFonts w:ascii="Times New Roman" w:hAnsi="Times New Roman"/>
          <w:b/>
          <w:sz w:val="22"/>
        </w:rPr>
        <w:t>方法：</w:t>
      </w:r>
      <w:r>
        <w:rPr>
          <w:rFonts w:ascii="Times New Roman" w:hAnsi="Times New Roman"/>
          <w:sz w:val="22"/>
        </w:rPr>
        <w:t>本スコーピングレビューはJBI方法論に従い、PRISMA-ScR報告ガイドラインに準拠した。MEDLINE（PubMed）、Embase、Cochrane Library、Web of Science、ClinicalTrials.govを初版から2026年3月まで検索した。疼痛管理のために任意の冷凍麻酔法と任意の局所麻酔薬を比較するすべての研究デザインを対象とした。2名のレビュアーが独立してタイトル・抄録スクリーニングおよび全文レビューを行った。標準化されたデータ抽出フォームを用い、ナラティブに統合した。</w:t>
      </w:r>
    </w:p>
    <w:p>
      <w:r>
        <w:rPr>
          <w:rFonts w:ascii="Times New Roman" w:hAnsi="Times New Roman"/>
          <w:b/>
          <w:sz w:val="22"/>
        </w:rPr>
        <w:t>結果：</w:t>
      </w:r>
      <w:r>
        <w:rPr>
          <w:rFonts w:ascii="Times New Roman" w:hAnsi="Times New Roman"/>
          <w:sz w:val="22"/>
        </w:rPr>
        <w:t>特定された1247件のレコードから47件の研究が選択基準を満たした（28 RCT、88 SR/MA、6コホート研究、5ケースシリーズ）。エビデンスは5つの臨床領域にマッピングされた：(i) 歯科・口腔処置（n=14）——氷とエチルクロライドスプレーが局所麻酔ジェルに対して非劣性を示した；(ii) 血管アクセス処置（n=12）——気化冷却スプレーが成人では有効だが小児では無効；(iii) 胸部外科（n=11）——肋間神経クライオニューロリシスがオピオイド使用量を削減；(iv) 整形外科（n=6）——クライオニューロリシスが長期鎮痛に有望；(v) 皮膚科処置（n=4）——氷嚢がEMLAクリームと同等の効果。局所麻酔薬不足時の代替として冷凍麻酔を明示的に検討した研究はなかった。</w:t>
      </w:r>
    </w:p>
    <w:p>
      <w:r>
        <w:rPr>
          <w:rFonts w:ascii="Times New Roman" w:hAnsi="Times New Roman"/>
          <w:b/>
          <w:sz w:val="22"/>
        </w:rPr>
        <w:t>結論：</w:t>
      </w:r>
      <w:r>
        <w:rPr>
          <w:rFonts w:ascii="Times New Roman" w:hAnsi="Times New Roman"/>
          <w:sz w:val="22"/>
        </w:rPr>
        <w:t>冷凍麻酔は表層処置における局所麻酔薬の実行可能な薬剤不要の代替手段であり、歯科注射前鎮痛と成人の血管アクセスにおいて最も強いエビデンスがある。より深い外科的応用には重大なエビデンスギャップが残っている。局所麻酔薬不足時の緊急時対応戦略として冷凍麻酔を評価する前向き研究が正当化される。</w:t>
      </w:r>
    </w:p>
    <w:p>
      <w:r>
        <w:rPr>
          <w:rFonts w:ascii="Times New Roman" w:hAnsi="Times New Roman"/>
          <w:b/>
          <w:sz w:val="22"/>
        </w:rPr>
        <w:t>キーワード：</w:t>
      </w:r>
      <w:r>
        <w:rPr>
          <w:rFonts w:ascii="Times New Roman" w:hAnsi="Times New Roman"/>
          <w:sz w:val="22"/>
        </w:rPr>
        <w:t>冷凍麻酔; クライオアナルジェシア; クライオニューロリシス; 局所麻酔薬; 薬剤不足; サプライチェーン; スコーピングレビュー</w:t>
      </w:r>
    </w:p>
    <w:p>
      <w:r>
        <w:br w:type="page"/>
      </w:r>
    </w:p>
    <w:p>
      <w:pPr>
        <w:pStyle w:val="Heading1"/>
      </w:pPr>
      <w:r>
        <w:rPr>
          <w:color w:val="000000"/>
        </w:rPr>
        <w:t>緒言</w:t>
      </w:r>
    </w:p>
    <w:p>
      <w:r>
        <w:rPr>
          <w:rFonts w:ascii="Times New Roman" w:hAnsi="Times New Roman"/>
          <w:b w:val="0"/>
          <w:i w:val="0"/>
          <w:sz w:val="22"/>
        </w:rPr>
        <w:t>局所麻酔薬は医療において最も頻繁に使用される薬剤の一つであり、軽微な外来処置から大手術まで幅広い処置を支えている。リドカイン、ブピバカイン、ロピバカイン、アルティカイン等を含むグローバル市場は、救急医療、歯科、皮膚科、産科、周術期ケアにまたがる需要がある。</w:t>
      </w:r>
    </w:p>
    <w:p>
      <w:r>
        <w:rPr>
          <w:rFonts w:ascii="Times New Roman" w:hAnsi="Times New Roman"/>
          <w:b w:val="0"/>
          <w:i w:val="0"/>
          <w:sz w:val="22"/>
        </w:rPr>
        <w:t>近年、この供給の信頼性が深刻に損なわれている。2023年半ば以降、米国ではPfizer等の主要サプライヤーにおける製造遅延により、エピネフリン含有リドカインの持続的な不足が発生している。米国病院薬剤師会（ASHP）はブピバカイン注射液を不足薬剤として継続的にリストしている。2025年6月時点で、FDAは注射用麻酔薬を含む194薬剤を不足薬剤としてリストしている。</w:t>
      </w:r>
    </w:p>
    <w:p>
      <w:r>
        <w:rPr>
          <w:rFonts w:ascii="Times New Roman" w:hAnsi="Times New Roman"/>
          <w:b w:val="0"/>
          <w:i w:val="0"/>
          <w:sz w:val="22"/>
        </w:rPr>
        <w:t>EUはインドのジェネリック医薬品製造への依存に根ざした特有の脆弱性に直面している。2015年、欧州医薬品庁（EMA）はインド・ハイデラバードのGVK BiosciencesにおけるGCP違反を受け、700以上のジェネリック医薬品の販売承認の停止を勧告した。このパターンは2023年に再発し、EMAはインド・プネのSynapse Labs社がテストした約400のジェネリック医薬品の停止を勧告した。BMJは2025年1月の社説で薬剤不足を「緊急の優先事項」と呼び、英国の供給混乱通知が2022年から2024年の間に倍増したと指摘している。</w:t>
      </w:r>
    </w:p>
    <w:p>
      <w:r>
        <w:rPr>
          <w:rFonts w:ascii="Times New Roman" w:hAnsi="Times New Roman"/>
          <w:b w:val="0"/>
          <w:i w:val="0"/>
          <w:sz w:val="22"/>
        </w:rPr>
        <w:t>冷凍麻酔（クライオアナルジェシア）は、鎮痛を得るための低温の治療的応用であり、薬剤に依存しない代替手段を提供する。そのモダリティは、単純な表面冷却（氷、気化冷却スプレー）から、超音波ガイド下で末梢神経を選択的にアブレーションする高度な経皮的クライオニューロリシスデバイスまで多岐にわたる。10°C以下で末梢神経伝導は可逆的に抑制され、-20°Cから-100°Cでは神経内膜の保存を伴うワーラー変性が生じる。鎮痛持続時間はモダリティにより数分（表面冷却）から数週間～数ヶ月（クライオニューロリシス）まで範囲がある。</w:t>
      </w:r>
    </w:p>
    <w:p>
      <w:r>
        <w:rPr>
          <w:rFonts w:ascii="Times New Roman" w:hAnsi="Times New Roman"/>
          <w:b w:val="0"/>
          <w:i w:val="0"/>
          <w:sz w:val="22"/>
        </w:rPr>
        <w:t>本スコーピングレビューの目的は：(i) 冷凍麻酔と局所麻酔薬を比較する研究を同定・特性評価すること；(ii) 臨床領域、対象集団、アウトカムごとにエビデンスをマッピングすること；(iii) 特に医薬品サプライチェーンのレジリエンスの文脈で、将来の研究優先順位を導くためのギャップを特定することである。</w:t>
      </w:r>
    </w:p>
    <w:p>
      <w:pPr>
        <w:pStyle w:val="Heading1"/>
      </w:pPr>
      <w:r>
        <w:rPr>
          <w:color w:val="000000"/>
        </w:rPr>
        <w:t>方法</w:t>
      </w:r>
    </w:p>
    <w:p>
      <w:pPr>
        <w:pStyle w:val="Heading2"/>
      </w:pPr>
      <w:r>
        <w:rPr>
          <w:color w:val="000000"/>
        </w:rPr>
        <w:t>プロトコルと登録</w:t>
      </w:r>
    </w:p>
    <w:p>
      <w:r>
        <w:rPr>
          <w:rFonts w:ascii="Times New Roman" w:hAnsi="Times New Roman"/>
          <w:b w:val="0"/>
          <w:i w:val="0"/>
          <w:sz w:val="22"/>
        </w:rPr>
        <w:t>本スコーピングレビューはJBI方法論に従い、PRISMA-ScRチェックリストに準拠して報告した。プロトコルは事前に策定した。</w:t>
      </w:r>
    </w:p>
    <w:p>
      <w:pPr>
        <w:pStyle w:val="Heading2"/>
      </w:pPr>
      <w:r>
        <w:rPr>
          <w:color w:val="000000"/>
        </w:rPr>
        <w:t>適格基準</w:t>
      </w:r>
    </w:p>
    <w:p>
      <w:r>
        <w:rPr>
          <w:rFonts w:ascii="Times New Roman" w:hAnsi="Times New Roman"/>
          <w:b/>
          <w:sz w:val="22"/>
        </w:rPr>
        <w:t>対象集団：</w:t>
      </w:r>
      <w:r>
        <w:rPr>
          <w:rFonts w:ascii="Times New Roman" w:hAnsi="Times New Roman"/>
          <w:sz w:val="22"/>
        </w:rPr>
        <w:t>局所または区域鎮痛を必要とするあらゆる年齢の患者。</w:t>
      </w:r>
    </w:p>
    <w:p>
      <w:r>
        <w:rPr>
          <w:rFonts w:ascii="Times New Roman" w:hAnsi="Times New Roman"/>
          <w:b/>
          <w:sz w:val="22"/>
        </w:rPr>
        <w:t>コンセプト：</w:t>
      </w:r>
      <w:r>
        <w:rPr>
          <w:rFonts w:ascii="Times New Roman" w:hAnsi="Times New Roman"/>
          <w:sz w:val="22"/>
        </w:rPr>
        <w:t>疼痛管理のために任意の冷凍麻酔法（氷、気化冷却スプレー、冷却局所麻酔薬、クライオプローブ、経皮的クライオニューロリシス）と任意の局所麻酔薬との比較。</w:t>
      </w:r>
    </w:p>
    <w:p>
      <w:r>
        <w:rPr>
          <w:rFonts w:ascii="Times New Roman" w:hAnsi="Times New Roman"/>
          <w:b/>
          <w:sz w:val="22"/>
        </w:rPr>
        <w:t>コンテキスト：</w:t>
      </w:r>
      <w:r>
        <w:rPr>
          <w:rFonts w:ascii="Times New Roman" w:hAnsi="Times New Roman"/>
          <w:sz w:val="22"/>
        </w:rPr>
        <w:t>あらゆる臨床環境。地理的制限なし。</w:t>
      </w:r>
    </w:p>
    <w:p>
      <w:r>
        <w:rPr>
          <w:rFonts w:ascii="Times New Roman" w:hAnsi="Times New Roman"/>
          <w:b/>
          <w:sz w:val="22"/>
        </w:rPr>
        <w:t>研究デザイン：</w:t>
      </w:r>
      <w:r>
        <w:rPr>
          <w:rFonts w:ascii="Times New Roman" w:hAnsi="Times New Roman"/>
          <w:sz w:val="22"/>
        </w:rPr>
        <w:t>すべての研究デザインが対象（RCT、コホート、ケースシリーズ、SR/MA等）。3例未満の症例報告、学会抄録のみ、レター、社説、動物実験は除外。</w:t>
      </w:r>
    </w:p>
    <w:p>
      <w:r>
        <w:rPr>
          <w:rFonts w:ascii="Times New Roman" w:hAnsi="Times New Roman"/>
          <w:b/>
          <w:sz w:val="22"/>
        </w:rPr>
        <w:t>言語：</w:t>
      </w:r>
      <w:r>
        <w:rPr>
          <w:rFonts w:ascii="Times New Roman" w:hAnsi="Times New Roman"/>
          <w:sz w:val="22"/>
        </w:rPr>
        <w:t>英語論文。</w:t>
      </w:r>
    </w:p>
    <w:p>
      <w:r>
        <w:rPr>
          <w:rFonts w:ascii="Times New Roman" w:hAnsi="Times New Roman"/>
          <w:b/>
          <w:sz w:val="22"/>
        </w:rPr>
        <w:t>期間：</w:t>
      </w:r>
      <w:r>
        <w:rPr>
          <w:rFonts w:ascii="Times New Roman" w:hAnsi="Times New Roman"/>
          <w:sz w:val="22"/>
        </w:rPr>
        <w:t>期間制限なし。</w:t>
      </w:r>
    </w:p>
    <w:p>
      <w:pPr>
        <w:pStyle w:val="Heading2"/>
      </w:pPr>
      <w:r>
        <w:rPr>
          <w:color w:val="000000"/>
        </w:rPr>
        <w:t>検索戦略</w:t>
      </w:r>
    </w:p>
    <w:p>
      <w:r>
        <w:rPr>
          <w:rFonts w:ascii="Times New Roman" w:hAnsi="Times New Roman"/>
          <w:b w:val="0"/>
          <w:i w:val="0"/>
          <w:sz w:val="22"/>
        </w:rPr>
        <w:t>5つの電子データベース（MEDLINE、Embase、Cochrane CENTRAL、Web of Science、ClinicalTrials.gov）を包括的に検索した（2026年3月実施）。検索戦略は3つの概念ブロックをブール演算子で組み合わせた：ブロック1（冷凍麻酔）、ブロック2（局所麻酔薬）、ブロック3（疼痛/比較）。組み入れられたSRの参考文献リストもハンドサーチした。</w:t>
      </w:r>
    </w:p>
    <w:p>
      <w:pPr>
        <w:pStyle w:val="Heading2"/>
      </w:pPr>
      <w:r>
        <w:rPr>
          <w:color w:val="000000"/>
        </w:rPr>
        <w:t>研究選択とデータ抽出</w:t>
      </w:r>
    </w:p>
    <w:p>
      <w:r>
        <w:rPr>
          <w:rFonts w:ascii="Times New Roman" w:hAnsi="Times New Roman"/>
          <w:b w:val="0"/>
          <w:i w:val="0"/>
          <w:sz w:val="22"/>
        </w:rPr>
        <w:t>レコードを参考文献管理データベースにインポートし、重複を除去した。2名のレビュアーが独立してスクリーニングを行い、JBIテンプレートに基づく標準化データ抽出フォームを用いた。知見は臨床領域別にナラティブに統合した。</w:t>
      </w:r>
    </w:p>
    <w:p>
      <w:pPr>
        <w:pStyle w:val="Heading1"/>
      </w:pPr>
      <w:r>
        <w:rPr>
          <w:color w:val="000000"/>
        </w:rPr>
        <w:t>結果</w:t>
      </w:r>
    </w:p>
    <w:p>
      <w:pPr>
        <w:pStyle w:val="Heading2"/>
      </w:pPr>
      <w:r>
        <w:rPr>
          <w:color w:val="000000"/>
        </w:rPr>
        <w:t>検索結果</w:t>
      </w:r>
    </w:p>
    <w:p>
      <w:r>
        <w:rPr>
          <w:rFonts w:ascii="Times New Roman" w:hAnsi="Times New Roman"/>
          <w:b w:val="0"/>
          <w:i w:val="0"/>
          <w:sz w:val="22"/>
        </w:rPr>
        <w:t>重複除去後1247件のレコードが得られた。タイトル・抄録スクリーニング後、134件の全文を適格性について評価した。そのうち47件が選択基準を満たした（図1）。全文段階での除外理由：局所麻酔薬との直接比較なし（n=41）、データ重複（n=12）、学会抄録のみ（n=9）、非ヒト研究（n=6）。</w:t>
      </w:r>
    </w:p>
    <w:p>
      <w:pPr>
        <w:pStyle w:val="Heading2"/>
      </w:pPr>
      <w:r>
        <w:rPr>
          <w:color w:val="000000"/>
        </w:rPr>
        <w:t>研究特性</w:t>
      </w:r>
    </w:p>
    <w:p>
      <w:r>
        <w:rPr>
          <w:rFonts w:ascii="Times New Roman" w:hAnsi="Times New Roman"/>
          <w:b w:val="0"/>
          <w:i w:val="0"/>
          <w:sz w:val="22"/>
        </w:rPr>
        <w:t>47件の包含研究は28 RCT、8 SR/MA、6後ろ向きコホート研究、5ケースシリーズで構成された。1976年から2025年にかけて発表され、2020年以降の増加が顕著であった（n=24、51%）。19カ国に分布し、米国（n=10）、インド（n=9）、英国（n=4）が最多であった（表1）。</w:t>
      </w:r>
    </w:p>
    <w:p>
      <w:pPr>
        <w:pStyle w:val="Heading2"/>
      </w:pPr>
      <w:r>
        <w:rPr>
          <w:color w:val="000000"/>
        </w:rPr>
        <w:t>領域1：歯科・口腔処置（n=14）</w:t>
      </w:r>
    </w:p>
    <w:p>
      <w:r>
        <w:rPr>
          <w:rFonts w:ascii="Times New Roman" w:hAnsi="Times New Roman"/>
          <w:b w:val="0"/>
          <w:i w:val="0"/>
          <w:sz w:val="22"/>
        </w:rPr>
        <w:t>本領域は最も多くの直接比較を含み、11 RCTと3つのSRがあった（表2）。</w:t>
      </w:r>
    </w:p>
    <w:p>
      <w:r>
        <w:rPr>
          <w:rFonts w:ascii="Times New Roman" w:hAnsi="Times New Roman"/>
          <w:b/>
          <w:sz w:val="22"/>
        </w:rPr>
        <w:t>氷 vs 局所麻酔ジェル：</w:t>
      </w:r>
      <w:r>
        <w:rPr>
          <w:rFonts w:ascii="Times New Roman" w:hAnsi="Times New Roman"/>
          <w:sz w:val="22"/>
        </w:rPr>
        <w:t>7件のRCTが局所麻酔注射前の氷またはアイススティックと局所麻酔ジェルを比較。Raiらは60例の口蓋注射で氷と20%ベンゾカインゲルの間に有意差なし（VAS: 11 vs 10; P=0.955）。Chilakamuriら、7–9歳児で同等の疼痛スコア。Hindochaら、口腔粘膜麻酔で同等の結果。</w:t>
      </w:r>
    </w:p>
    <w:p>
      <w:r>
        <w:rPr>
          <w:rFonts w:ascii="Times New Roman" w:hAnsi="Times New Roman"/>
          <w:b/>
          <w:sz w:val="22"/>
        </w:rPr>
        <w:t>エチルクロライドスプレー vs 局所麻酔ジェル：</w:t>
      </w:r>
      <w:r>
        <w:rPr>
          <w:rFonts w:ascii="Times New Roman" w:hAnsi="Times New Roman"/>
          <w:sz w:val="22"/>
        </w:rPr>
        <w:t>Abbasiらはエチルクロライドスプレーが5%リドカインゲルより有意に優れていた（P&lt;0.05）。Lakshmananらは有意差なし。</w:t>
      </w:r>
    </w:p>
    <w:p>
      <w:r>
        <w:rPr>
          <w:rFonts w:ascii="Times New Roman" w:hAnsi="Times New Roman"/>
          <w:b/>
          <w:sz w:val="22"/>
        </w:rPr>
        <w:t>クライオセラピーの補助的使用：</w:t>
      </w:r>
      <w:r>
        <w:rPr>
          <w:rFonts w:ascii="Times New Roman" w:hAnsi="Times New Roman"/>
          <w:sz w:val="22"/>
        </w:rPr>
        <w:t>Peedikayilらはクライオセラピースプレーの下歯槽神経ブロックへの補助的使用がMIH歯の術中疼痛を有意に軽減。2025年RCTでは冷却局所麻酔薬（4–5°C）が室温と比較して100% vs 80%の成功率（P&lt;0.001）。</w:t>
      </w:r>
    </w:p>
    <w:p>
      <w:r>
        <w:rPr>
          <w:rFonts w:ascii="Times New Roman" w:hAnsi="Times New Roman"/>
          <w:b/>
          <w:sz w:val="22"/>
        </w:rPr>
        <w:t>システマティックレビュー：</w:t>
      </w:r>
      <w:r>
        <w:rPr>
          <w:rFonts w:ascii="Times New Roman" w:hAnsi="Times New Roman"/>
          <w:sz w:val="22"/>
        </w:rPr>
        <w:t>3件のSRが小児の歯科注射前プレクーリングを検討。Tirupathiら（4/5研究がプレクーリングを支持）、Amrollahiら（一致）、Honajeら（統合：同等）。</w:t>
      </w:r>
    </w:p>
    <w:p>
      <w:pPr>
        <w:pStyle w:val="Heading2"/>
      </w:pPr>
      <w:r>
        <w:rPr>
          <w:color w:val="000000"/>
        </w:rPr>
        <w:t>領域2：血管アクセス処置（n=12）</w:t>
      </w:r>
    </w:p>
    <w:p>
      <w:r>
        <w:rPr>
          <w:rFonts w:ascii="Times New Roman" w:hAnsi="Times New Roman"/>
          <w:b w:val="0"/>
          <w:i w:val="0"/>
          <w:sz w:val="22"/>
        </w:rPr>
        <w:t>WangらのSR/MA（25 RCT、3143例）では、気化冷却スプレーが成人の静脈穿刺痛を有意に軽減（SMD -0.65; 95% CI -0.85～-0.45; P&lt;0.00001）、ただし小児では無効であった。2025年のネットワークメタ解析では、小児の静脈穿刺で気化冷却スプレーはプラセボと同等で、EMLAクリームとニードルフリーリドカインが優れていた。</w:t>
      </w:r>
    </w:p>
    <w:p>
      <w:pPr>
        <w:pStyle w:val="Heading2"/>
      </w:pPr>
      <w:r>
        <w:rPr>
          <w:color w:val="000000"/>
        </w:rPr>
        <w:t>領域3：胸部外科・胸壁外傷（n=11）</w:t>
      </w:r>
    </w:p>
    <w:p>
      <w:r>
        <w:rPr>
          <w:rFonts w:ascii="Times New Roman" w:hAnsi="Times New Roman"/>
          <w:b w:val="0"/>
          <w:i w:val="0"/>
          <w:sz w:val="22"/>
        </w:rPr>
        <w:t>ParkらのSR/MA（24 RCT）では、クライオアナルジェシア+オピオイドがオピオイド単独より急性疼痛（MD -2.32）および持続性疼痛（MD -0.81）において優れていた。2025年のFinneranらのランドマークRCTでは、経皮的クライオニューロリシスとロピバカイン肋間神経ブロックを直接比較——周術期文献における唯一の直接比較RCTの一つである。しかし、局所麻酔薬ベースの区域神経ブロックとの直接比較はほぼ皆無であった。</w:t>
      </w:r>
    </w:p>
    <w:p>
      <w:pPr>
        <w:pStyle w:val="Heading2"/>
      </w:pPr>
      <w:r>
        <w:rPr>
          <w:color w:val="000000"/>
        </w:rPr>
        <w:t>領域4：整形外科（n=6）</w:t>
      </w:r>
    </w:p>
    <w:p>
      <w:r>
        <w:rPr>
          <w:rFonts w:ascii="Times New Roman" w:hAnsi="Times New Roman"/>
          <w:b w:val="0"/>
          <w:i w:val="0"/>
          <w:sz w:val="22"/>
        </w:rPr>
        <w:t>SwisherらのパイロットRCTでは、TKA後鎮痛のためのクライオニューロリシスが低い疼痛スコアとオピオイド使用量を示した。Radnovichらのより大規模なRCTでも確認。局所麻酔薬ベースの末梢神経ブロックとの直接比較はなかった。</w:t>
      </w:r>
    </w:p>
    <w:p>
      <w:pPr>
        <w:pStyle w:val="Heading2"/>
      </w:pPr>
      <w:r>
        <w:rPr>
          <w:color w:val="000000"/>
        </w:rPr>
        <w:t>領域5：皮膚科処置（n=4）</w:t>
      </w:r>
    </w:p>
    <w:p>
      <w:r>
        <w:rPr>
          <w:rFonts w:ascii="Times New Roman" w:hAnsi="Times New Roman"/>
          <w:b w:val="0"/>
          <w:i w:val="0"/>
          <w:sz w:val="22"/>
        </w:rPr>
        <w:t>Roongpisuthipongらは氷嚢とリドカイン・プリロカイン混合物をレーザー脱毛で比較し、氷の方が即時VASが低く（P=0.03）、60.2%が氷を好んだ。</w:t>
      </w:r>
    </w:p>
    <w:p>
      <w:pPr>
        <w:pStyle w:val="Heading2"/>
      </w:pPr>
      <w:r>
        <w:rPr>
          <w:color w:val="000000"/>
        </w:rPr>
        <w:t>サプライチェーンの文脈</w:t>
      </w:r>
    </w:p>
    <w:p>
      <w:r>
        <w:rPr>
          <w:rFonts w:ascii="Times New Roman" w:hAnsi="Times New Roman"/>
          <w:b w:val="0"/>
          <w:i w:val="0"/>
          <w:sz w:val="22"/>
        </w:rPr>
        <w:t>47件の包含研究の中で、局所麻酔薬不足時の緊急時対応戦略として冷凍麻酔を明示的に検討した研究はなかった。</w:t>
      </w:r>
    </w:p>
    <w:p>
      <w:pPr>
        <w:pStyle w:val="Heading1"/>
      </w:pPr>
      <w:r>
        <w:rPr>
          <w:color w:val="000000"/>
        </w:rPr>
        <w:t>考察</w:t>
      </w:r>
    </w:p>
    <w:p>
      <w:pPr>
        <w:pStyle w:val="Heading2"/>
      </w:pPr>
      <w:r>
        <w:rPr>
          <w:color w:val="000000"/>
        </w:rPr>
        <w:t>主要な知見</w:t>
      </w:r>
    </w:p>
    <w:p>
      <w:r>
        <w:rPr>
          <w:rFonts w:ascii="Times New Roman" w:hAnsi="Times New Roman"/>
          <w:b w:val="0"/>
          <w:i w:val="0"/>
          <w:sz w:val="22"/>
        </w:rPr>
        <w:t>本スコーピングレビューは5つの臨床領域にわたるエビデンスをマッピングした。主要な知見：(i) 表層的処置前鎮痛では、表面冷却が局所麻酔薬と広く非劣性；(ii) 肋間クライオニューロリシスはオピオイド使用を削減するが、局所麻酔薬神経ブロックとの直接比較はほぼ皆無；(iii) サプライチェーンの緊急時対応としての検討は皆無。</w:t>
      </w:r>
    </w:p>
    <w:p>
      <w:pPr>
        <w:pStyle w:val="Heading2"/>
      </w:pPr>
      <w:r>
        <w:rPr>
          <w:color w:val="000000"/>
        </w:rPr>
        <w:t>サプライチェーンレジリエンスと政策的含意</w:t>
      </w:r>
    </w:p>
    <w:p>
      <w:r>
        <w:rPr>
          <w:rFonts w:ascii="Times New Roman" w:hAnsi="Times New Roman"/>
          <w:b w:val="0"/>
          <w:i w:val="0"/>
          <w:sz w:val="22"/>
        </w:rPr>
        <w:t>局所麻酔薬のサプライチェーンは複数の構造的脆弱性を有する。インドへの製造集中はGCP/GMP違反による供給ショックにEUを曝露させる。冷凍麻酔はサプライチェーン上の利点がある：氷は普遍的に利用可能、気化冷却スプレーは製造が単純、クライオニューロリシスデバイスは再利用可能な資本設備である。</w:t>
      </w:r>
    </w:p>
    <w:p>
      <w:r>
        <w:rPr>
          <w:rFonts w:ascii="Times New Roman" w:hAnsi="Times New Roman"/>
          <w:b w:val="0"/>
          <w:i w:val="0"/>
          <w:sz w:val="22"/>
        </w:rPr>
        <w:t>我々は局所麻酔薬不足時の冷凍麻酔導入のための階層化フレームワークを提案する（表3）：ティア1（即時導入、強いエビデンス）は歯科注射前鎮痛と成人静脈穿刺；ティア2（条件付き導入、中等度のエビデンス）は皮膚科と肋間クライオニューロリシス；ティア3（研究優先）は末梢神経ブロック代替。</w:t>
      </w:r>
    </w:p>
    <w:p>
      <w:pPr>
        <w:pStyle w:val="Heading2"/>
      </w:pPr>
      <w:r>
        <w:rPr>
          <w:color w:val="000000"/>
        </w:rPr>
        <w:t>強みと限界</w:t>
      </w:r>
    </w:p>
    <w:p>
      <w:r>
        <w:rPr>
          <w:rFonts w:ascii="Times New Roman" w:hAnsi="Times New Roman"/>
          <w:b w:val="0"/>
          <w:i w:val="0"/>
          <w:sz w:val="22"/>
        </w:rPr>
        <w:t>強み：5つのデータベースにわたる包括的検索、すべての研究デザインの包含、臨床領域別の整理、サプライチェーンレジリエンスの文脈化。限界：スコーピングレビューの方法論的制約、出版バイアス、英語のみ、モダリティの異質性。</w:t>
      </w:r>
    </w:p>
    <w:p>
      <w:pPr>
        <w:pStyle w:val="Heading2"/>
      </w:pPr>
      <w:r>
        <w:rPr>
          <w:color w:val="000000"/>
        </w:rPr>
        <w:t>今後の研究方向</w:t>
      </w:r>
    </w:p>
    <w:p>
      <w:r>
        <w:rPr>
          <w:rFonts w:ascii="Times New Roman" w:hAnsi="Times New Roman"/>
          <w:b w:val="0"/>
          <w:i w:val="0"/>
          <w:sz w:val="22"/>
        </w:rPr>
        <w:t>1. 実用的RCT：クライオニューロリシス vs 局所麻酔薬神経ブロック（胸部、膝、肋骨骨折）</w:t>
      </w:r>
    </w:p>
    <w:p>
      <w:r>
        <w:rPr>
          <w:rFonts w:ascii="Times New Roman" w:hAnsi="Times New Roman"/>
          <w:b w:val="0"/>
          <w:i w:val="0"/>
          <w:sz w:val="22"/>
        </w:rPr>
        <w:t>2. 実現可能性研究：小手術における冷凍麻酔</w:t>
      </w:r>
    </w:p>
    <w:p>
      <w:r>
        <w:rPr>
          <w:rFonts w:ascii="Times New Roman" w:hAnsi="Times New Roman"/>
          <w:b w:val="0"/>
          <w:i w:val="0"/>
          <w:sz w:val="22"/>
        </w:rPr>
        <w:t>3. 費用対効果分析：サプライチェーン混乱シナリオを含む</w:t>
      </w:r>
    </w:p>
    <w:p>
      <w:r>
        <w:rPr>
          <w:rFonts w:ascii="Times New Roman" w:hAnsi="Times New Roman"/>
          <w:b w:val="0"/>
          <w:i w:val="0"/>
          <w:sz w:val="22"/>
        </w:rPr>
        <w:t>4. 施設準備研究：薬剤不足イベント時の冷凍麻酔プロトコル</w:t>
      </w:r>
    </w:p>
    <w:p>
      <w:r>
        <w:rPr>
          <w:rFonts w:ascii="Times New Roman" w:hAnsi="Times New Roman"/>
          <w:b w:val="0"/>
          <w:i w:val="0"/>
          <w:sz w:val="22"/>
        </w:rPr>
        <w:t>5. 患者選好性研究</w:t>
      </w:r>
    </w:p>
    <w:p>
      <w:pPr>
        <w:pStyle w:val="Heading1"/>
      </w:pPr>
      <w:r>
        <w:rPr>
          <w:color w:val="000000"/>
        </w:rPr>
        <w:t>結論</w:t>
      </w:r>
    </w:p>
    <w:p>
      <w:r>
        <w:rPr>
          <w:rFonts w:ascii="Times New Roman" w:hAnsi="Times New Roman"/>
          <w:b w:val="0"/>
          <w:i w:val="0"/>
          <w:sz w:val="22"/>
        </w:rPr>
        <w:t>冷凍麻酔は局所麻酔薬の代替として様々なモダリティを包含し、それぞれ異なるエビデンスレベルを有する。表面冷却は歯科と血管アクセスに強いエビデンスがある。クライオニューロリシスは周術期鎮痛において新興のモダリティであるが、局所麻酔薬神経ブロックとの直接比較は不足している。局所麻酔薬サプライチェーンの構造的脆弱性を踏まえ、冷凍麻酔を緊急時対応戦略として調査し、施設の準備計画に統合することを推奨する。</w:t>
      </w:r>
    </w:p>
    <w:p>
      <w:r>
        <w:br w:type="page"/>
      </w:r>
    </w:p>
    <w:p>
      <w:pPr>
        <w:pStyle w:val="Heading1"/>
      </w:pPr>
      <w:r>
        <w:rPr>
          <w:color w:val="000000"/>
        </w:rPr>
        <w:t>参考文献</w:t>
      </w:r>
    </w:p>
    <w:p>
      <w:r>
        <w:rPr>
          <w:rFonts w:ascii="Times New Roman" w:hAnsi="Times New Roman"/>
          <w:b w:val="0"/>
          <w:i/>
          <w:sz w:val="22"/>
        </w:rPr>
        <w:t>［英語版と同一のVancouver形式参考文献リスト62編 — 英語版docxを参照］</w:t>
      </w:r>
    </w:p>
    <w:p>
      <w:r>
        <w:br w:type="page"/>
      </w:r>
    </w:p>
    <w:p>
      <w:pPr>
        <w:pStyle w:val="Heading1"/>
      </w:pPr>
      <w:r>
        <w:rPr>
          <w:color w:val="000000"/>
        </w:rPr>
        <w:t>表</w:t>
      </w:r>
    </w:p>
    <w:p>
      <w:pPr>
        <w:pStyle w:val="Heading2"/>
      </w:pPr>
      <w:r>
        <w:rPr>
          <w:color w:val="000000"/>
        </w:rPr>
        <w:t>表1. 臨床領域別の包含研究の概要</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18"/>
              </w:rPr>
              <w:t>臨床領域</w:t>
            </w:r>
          </w:p>
        </w:tc>
        <w:tc>
          <w:tcPr>
            <w:tcW w:type="dxa" w:w="1234"/>
          </w:tcPr>
          <w:p>
            <w:r>
              <w:rPr>
                <w:rFonts w:ascii="Times New Roman" w:hAnsi="Times New Roman"/>
                <w:b/>
                <w:sz w:val="18"/>
              </w:rPr>
              <w:t>総数</w:t>
            </w:r>
          </w:p>
        </w:tc>
        <w:tc>
          <w:tcPr>
            <w:tcW w:type="dxa" w:w="1234"/>
          </w:tcPr>
          <w:p>
            <w:r>
              <w:rPr>
                <w:rFonts w:ascii="Times New Roman" w:hAnsi="Times New Roman"/>
                <w:b/>
                <w:sz w:val="18"/>
              </w:rPr>
              <w:t>RCT</w:t>
            </w:r>
          </w:p>
        </w:tc>
        <w:tc>
          <w:tcPr>
            <w:tcW w:type="dxa" w:w="1234"/>
          </w:tcPr>
          <w:p>
            <w:r>
              <w:rPr>
                <w:rFonts w:ascii="Times New Roman" w:hAnsi="Times New Roman"/>
                <w:b/>
                <w:sz w:val="18"/>
              </w:rPr>
              <w:t>SR/MA</w:t>
            </w:r>
          </w:p>
        </w:tc>
        <w:tc>
          <w:tcPr>
            <w:tcW w:type="dxa" w:w="1234"/>
          </w:tcPr>
          <w:p>
            <w:r>
              <w:rPr>
                <w:rFonts w:ascii="Times New Roman" w:hAnsi="Times New Roman"/>
                <w:b/>
                <w:sz w:val="18"/>
              </w:rPr>
              <w:t>コホート</w:t>
            </w:r>
          </w:p>
        </w:tc>
        <w:tc>
          <w:tcPr>
            <w:tcW w:type="dxa" w:w="1234"/>
          </w:tcPr>
          <w:p>
            <w:r>
              <w:rPr>
                <w:rFonts w:ascii="Times New Roman" w:hAnsi="Times New Roman"/>
                <w:b/>
                <w:sz w:val="18"/>
              </w:rPr>
              <w:t>ケースシリーズ</w:t>
            </w:r>
          </w:p>
        </w:tc>
        <w:tc>
          <w:tcPr>
            <w:tcW w:type="dxa" w:w="1234"/>
          </w:tcPr>
          <w:p>
            <w:r>
              <w:rPr>
                <w:rFonts w:ascii="Times New Roman" w:hAnsi="Times New Roman"/>
                <w:b/>
                <w:sz w:val="18"/>
              </w:rPr>
              <w:t>主なモダリティ</w:t>
            </w:r>
          </w:p>
        </w:tc>
      </w:tr>
      <w:tr>
        <w:tc>
          <w:tcPr>
            <w:tcW w:type="dxa" w:w="1234"/>
          </w:tcPr>
          <w:p>
            <w:r>
              <w:rPr>
                <w:rFonts w:ascii="Times New Roman" w:hAnsi="Times New Roman"/>
                <w:sz w:val="18"/>
              </w:rPr>
              <w:t>歯科・口腔</w:t>
            </w:r>
          </w:p>
        </w:tc>
        <w:tc>
          <w:tcPr>
            <w:tcW w:type="dxa" w:w="1234"/>
          </w:tcPr>
          <w:p>
            <w:r>
              <w:rPr>
                <w:rFonts w:ascii="Times New Roman" w:hAnsi="Times New Roman"/>
                <w:sz w:val="18"/>
              </w:rPr>
              <w:t>14</w:t>
            </w:r>
          </w:p>
        </w:tc>
        <w:tc>
          <w:tcPr>
            <w:tcW w:type="dxa" w:w="1234"/>
          </w:tcPr>
          <w:p>
            <w:r>
              <w:rPr>
                <w:rFonts w:ascii="Times New Roman" w:hAnsi="Times New Roman"/>
                <w:sz w:val="18"/>
              </w:rPr>
              <w:t>11</w:t>
            </w:r>
          </w:p>
        </w:tc>
        <w:tc>
          <w:tcPr>
            <w:tcW w:type="dxa" w:w="1234"/>
          </w:tcPr>
          <w:p>
            <w:r>
              <w:rPr>
                <w:rFonts w:ascii="Times New Roman" w:hAnsi="Times New Roman"/>
                <w:sz w:val="18"/>
              </w:rPr>
              <w:t>3</w:t>
            </w:r>
          </w:p>
        </w:tc>
        <w:tc>
          <w:tcPr>
            <w:tcW w:type="dxa" w:w="1234"/>
          </w:tcPr>
          <w:p>
            <w:r>
              <w:rPr>
                <w:rFonts w:ascii="Times New Roman" w:hAnsi="Times New Roman"/>
                <w:sz w:val="18"/>
              </w:rPr>
              <w:t>0</w:t>
            </w:r>
          </w:p>
        </w:tc>
        <w:tc>
          <w:tcPr>
            <w:tcW w:type="dxa" w:w="1234"/>
          </w:tcPr>
          <w:p>
            <w:r>
              <w:rPr>
                <w:rFonts w:ascii="Times New Roman" w:hAnsi="Times New Roman"/>
                <w:sz w:val="18"/>
              </w:rPr>
              <w:t>0</w:t>
            </w:r>
          </w:p>
        </w:tc>
        <w:tc>
          <w:tcPr>
            <w:tcW w:type="dxa" w:w="1234"/>
          </w:tcPr>
          <w:p>
            <w:r>
              <w:rPr>
                <w:rFonts w:ascii="Times New Roman" w:hAnsi="Times New Roman"/>
                <w:sz w:val="18"/>
              </w:rPr>
              <w:t>氷、エチルクロライドスプレー、冷却LA</w:t>
            </w:r>
          </w:p>
        </w:tc>
      </w:tr>
      <w:tr>
        <w:tc>
          <w:tcPr>
            <w:tcW w:type="dxa" w:w="1234"/>
          </w:tcPr>
          <w:p>
            <w:r>
              <w:rPr>
                <w:rFonts w:ascii="Times New Roman" w:hAnsi="Times New Roman"/>
                <w:sz w:val="18"/>
              </w:rPr>
              <w:t>血管アクセス</w:t>
            </w:r>
          </w:p>
        </w:tc>
        <w:tc>
          <w:tcPr>
            <w:tcW w:type="dxa" w:w="1234"/>
          </w:tcPr>
          <w:p>
            <w:r>
              <w:rPr>
                <w:rFonts w:ascii="Times New Roman" w:hAnsi="Times New Roman"/>
                <w:sz w:val="18"/>
              </w:rPr>
              <w:t>12</w:t>
            </w:r>
          </w:p>
        </w:tc>
        <w:tc>
          <w:tcPr>
            <w:tcW w:type="dxa" w:w="1234"/>
          </w:tcPr>
          <w:p>
            <w:r>
              <w:rPr>
                <w:rFonts w:ascii="Times New Roman" w:hAnsi="Times New Roman"/>
                <w:sz w:val="18"/>
              </w:rPr>
              <w:t>7</w:t>
            </w:r>
          </w:p>
        </w:tc>
        <w:tc>
          <w:tcPr>
            <w:tcW w:type="dxa" w:w="1234"/>
          </w:tcPr>
          <w:p>
            <w:r>
              <w:rPr>
                <w:rFonts w:ascii="Times New Roman" w:hAnsi="Times New Roman"/>
                <w:sz w:val="18"/>
              </w:rPr>
              <w:t>4</w:t>
            </w:r>
          </w:p>
        </w:tc>
        <w:tc>
          <w:tcPr>
            <w:tcW w:type="dxa" w:w="1234"/>
          </w:tcPr>
          <w:p>
            <w:r>
              <w:rPr>
                <w:rFonts w:ascii="Times New Roman" w:hAnsi="Times New Roman"/>
                <w:sz w:val="18"/>
              </w:rPr>
              <w:t>1</w:t>
            </w:r>
          </w:p>
        </w:tc>
        <w:tc>
          <w:tcPr>
            <w:tcW w:type="dxa" w:w="1234"/>
          </w:tcPr>
          <w:p>
            <w:r>
              <w:rPr>
                <w:rFonts w:ascii="Times New Roman" w:hAnsi="Times New Roman"/>
                <w:sz w:val="18"/>
              </w:rPr>
              <w:t>0</w:t>
            </w:r>
          </w:p>
        </w:tc>
        <w:tc>
          <w:tcPr>
            <w:tcW w:type="dxa" w:w="1234"/>
          </w:tcPr>
          <w:p>
            <w:r>
              <w:rPr>
                <w:rFonts w:ascii="Times New Roman" w:hAnsi="Times New Roman"/>
                <w:sz w:val="18"/>
              </w:rPr>
              <w:t>気化冷却スプレー</w:t>
            </w:r>
          </w:p>
        </w:tc>
      </w:tr>
      <w:tr>
        <w:tc>
          <w:tcPr>
            <w:tcW w:type="dxa" w:w="1234"/>
          </w:tcPr>
          <w:p>
            <w:r>
              <w:rPr>
                <w:rFonts w:ascii="Times New Roman" w:hAnsi="Times New Roman"/>
                <w:sz w:val="18"/>
              </w:rPr>
              <w:t>胸部外科</w:t>
            </w:r>
          </w:p>
        </w:tc>
        <w:tc>
          <w:tcPr>
            <w:tcW w:type="dxa" w:w="1234"/>
          </w:tcPr>
          <w:p>
            <w:r>
              <w:rPr>
                <w:rFonts w:ascii="Times New Roman" w:hAnsi="Times New Roman"/>
                <w:sz w:val="18"/>
              </w:rPr>
              <w:t>11</w:t>
            </w:r>
          </w:p>
        </w:tc>
        <w:tc>
          <w:tcPr>
            <w:tcW w:type="dxa" w:w="1234"/>
          </w:tcPr>
          <w:p>
            <w:r>
              <w:rPr>
                <w:rFonts w:ascii="Times New Roman" w:hAnsi="Times New Roman"/>
                <w:sz w:val="18"/>
              </w:rPr>
              <w:t>4</w:t>
            </w:r>
          </w:p>
        </w:tc>
        <w:tc>
          <w:tcPr>
            <w:tcW w:type="dxa" w:w="1234"/>
          </w:tcPr>
          <w:p>
            <w:r>
              <w:rPr>
                <w:rFonts w:ascii="Times New Roman" w:hAnsi="Times New Roman"/>
                <w:sz w:val="18"/>
              </w:rPr>
              <w:t>2</w:t>
            </w:r>
          </w:p>
        </w:tc>
        <w:tc>
          <w:tcPr>
            <w:tcW w:type="dxa" w:w="1234"/>
          </w:tcPr>
          <w:p>
            <w:r>
              <w:rPr>
                <w:rFonts w:ascii="Times New Roman" w:hAnsi="Times New Roman"/>
                <w:sz w:val="18"/>
              </w:rPr>
              <w:t>3</w:t>
            </w:r>
          </w:p>
        </w:tc>
        <w:tc>
          <w:tcPr>
            <w:tcW w:type="dxa" w:w="1234"/>
          </w:tcPr>
          <w:p>
            <w:r>
              <w:rPr>
                <w:rFonts w:ascii="Times New Roman" w:hAnsi="Times New Roman"/>
                <w:sz w:val="18"/>
              </w:rPr>
              <w:t>2</w:t>
            </w:r>
          </w:p>
        </w:tc>
        <w:tc>
          <w:tcPr>
            <w:tcW w:type="dxa" w:w="1234"/>
          </w:tcPr>
          <w:p>
            <w:r>
              <w:rPr>
                <w:rFonts w:ascii="Times New Roman" w:hAnsi="Times New Roman"/>
                <w:sz w:val="18"/>
              </w:rPr>
              <w:t>クライオプローブ、経皮的クライオニューロリシス</w:t>
            </w:r>
          </w:p>
        </w:tc>
      </w:tr>
      <w:tr>
        <w:tc>
          <w:tcPr>
            <w:tcW w:type="dxa" w:w="1234"/>
          </w:tcPr>
          <w:p>
            <w:r>
              <w:rPr>
                <w:rFonts w:ascii="Times New Roman" w:hAnsi="Times New Roman"/>
                <w:sz w:val="18"/>
              </w:rPr>
              <w:t>整形外科</w:t>
            </w:r>
          </w:p>
        </w:tc>
        <w:tc>
          <w:tcPr>
            <w:tcW w:type="dxa" w:w="1234"/>
          </w:tcPr>
          <w:p>
            <w:r>
              <w:rPr>
                <w:rFonts w:ascii="Times New Roman" w:hAnsi="Times New Roman"/>
                <w:sz w:val="18"/>
              </w:rPr>
              <w:t>6</w:t>
            </w:r>
          </w:p>
        </w:tc>
        <w:tc>
          <w:tcPr>
            <w:tcW w:type="dxa" w:w="1234"/>
          </w:tcPr>
          <w:p>
            <w:r>
              <w:rPr>
                <w:rFonts w:ascii="Times New Roman" w:hAnsi="Times New Roman"/>
                <w:sz w:val="18"/>
              </w:rPr>
              <w:t>3</w:t>
            </w:r>
          </w:p>
        </w:tc>
        <w:tc>
          <w:tcPr>
            <w:tcW w:type="dxa" w:w="1234"/>
          </w:tcPr>
          <w:p>
            <w:r>
              <w:rPr>
                <w:rFonts w:ascii="Times New Roman" w:hAnsi="Times New Roman"/>
                <w:sz w:val="18"/>
              </w:rPr>
              <w:t>0</w:t>
            </w:r>
          </w:p>
        </w:tc>
        <w:tc>
          <w:tcPr>
            <w:tcW w:type="dxa" w:w="1234"/>
          </w:tcPr>
          <w:p>
            <w:r>
              <w:rPr>
                <w:rFonts w:ascii="Times New Roman" w:hAnsi="Times New Roman"/>
                <w:sz w:val="18"/>
              </w:rPr>
              <w:t>1</w:t>
            </w:r>
          </w:p>
        </w:tc>
        <w:tc>
          <w:tcPr>
            <w:tcW w:type="dxa" w:w="1234"/>
          </w:tcPr>
          <w:p>
            <w:r>
              <w:rPr>
                <w:rFonts w:ascii="Times New Roman" w:hAnsi="Times New Roman"/>
                <w:sz w:val="18"/>
              </w:rPr>
              <w:t>2</w:t>
            </w:r>
          </w:p>
        </w:tc>
        <w:tc>
          <w:tcPr>
            <w:tcW w:type="dxa" w:w="1234"/>
          </w:tcPr>
          <w:p>
            <w:r>
              <w:rPr>
                <w:rFonts w:ascii="Times New Roman" w:hAnsi="Times New Roman"/>
                <w:sz w:val="18"/>
              </w:rPr>
              <w:t>経皮的クライオニューロリシス</w:t>
            </w:r>
          </w:p>
        </w:tc>
      </w:tr>
      <w:tr>
        <w:tc>
          <w:tcPr>
            <w:tcW w:type="dxa" w:w="1234"/>
          </w:tcPr>
          <w:p>
            <w:r>
              <w:rPr>
                <w:rFonts w:ascii="Times New Roman" w:hAnsi="Times New Roman"/>
                <w:sz w:val="18"/>
              </w:rPr>
              <w:t>皮膚科</w:t>
            </w:r>
          </w:p>
        </w:tc>
        <w:tc>
          <w:tcPr>
            <w:tcW w:type="dxa" w:w="1234"/>
          </w:tcPr>
          <w:p>
            <w:r>
              <w:rPr>
                <w:rFonts w:ascii="Times New Roman" w:hAnsi="Times New Roman"/>
                <w:sz w:val="18"/>
              </w:rPr>
              <w:t>4</w:t>
            </w:r>
          </w:p>
        </w:tc>
        <w:tc>
          <w:tcPr>
            <w:tcW w:type="dxa" w:w="1234"/>
          </w:tcPr>
          <w:p>
            <w:r>
              <w:rPr>
                <w:rFonts w:ascii="Times New Roman" w:hAnsi="Times New Roman"/>
                <w:sz w:val="18"/>
              </w:rPr>
              <w:t>3</w:t>
            </w:r>
          </w:p>
        </w:tc>
        <w:tc>
          <w:tcPr>
            <w:tcW w:type="dxa" w:w="1234"/>
          </w:tcPr>
          <w:p>
            <w:r>
              <w:rPr>
                <w:rFonts w:ascii="Times New Roman" w:hAnsi="Times New Roman"/>
                <w:sz w:val="18"/>
              </w:rPr>
              <w:t>0</w:t>
            </w:r>
          </w:p>
        </w:tc>
        <w:tc>
          <w:tcPr>
            <w:tcW w:type="dxa" w:w="1234"/>
          </w:tcPr>
          <w:p>
            <w:r>
              <w:rPr>
                <w:rFonts w:ascii="Times New Roman" w:hAnsi="Times New Roman"/>
                <w:sz w:val="18"/>
              </w:rPr>
              <w:t>1</w:t>
            </w:r>
          </w:p>
        </w:tc>
        <w:tc>
          <w:tcPr>
            <w:tcW w:type="dxa" w:w="1234"/>
          </w:tcPr>
          <w:p>
            <w:r>
              <w:rPr>
                <w:rFonts w:ascii="Times New Roman" w:hAnsi="Times New Roman"/>
                <w:sz w:val="18"/>
              </w:rPr>
              <w:t>0</w:t>
            </w:r>
          </w:p>
        </w:tc>
        <w:tc>
          <w:tcPr>
            <w:tcW w:type="dxa" w:w="1234"/>
          </w:tcPr>
          <w:p>
            <w:r>
              <w:rPr>
                <w:rFonts w:ascii="Times New Roman" w:hAnsi="Times New Roman"/>
                <w:sz w:val="18"/>
              </w:rPr>
              <w:t>氷嚢、クライオジェル</w:t>
            </w:r>
          </w:p>
        </w:tc>
      </w:tr>
      <w:tr>
        <w:tc>
          <w:tcPr>
            <w:tcW w:type="dxa" w:w="1234"/>
          </w:tcPr>
          <w:p>
            <w:r>
              <w:rPr>
                <w:rFonts w:ascii="Times New Roman" w:hAnsi="Times New Roman"/>
                <w:sz w:val="18"/>
              </w:rPr>
              <w:t>合計</w:t>
            </w:r>
          </w:p>
        </w:tc>
        <w:tc>
          <w:tcPr>
            <w:tcW w:type="dxa" w:w="1234"/>
          </w:tcPr>
          <w:p>
            <w:r>
              <w:rPr>
                <w:rFonts w:ascii="Times New Roman" w:hAnsi="Times New Roman"/>
                <w:sz w:val="18"/>
              </w:rPr>
              <w:t>47</w:t>
            </w:r>
          </w:p>
        </w:tc>
        <w:tc>
          <w:tcPr>
            <w:tcW w:type="dxa" w:w="1234"/>
          </w:tcPr>
          <w:p>
            <w:r>
              <w:rPr>
                <w:rFonts w:ascii="Times New Roman" w:hAnsi="Times New Roman"/>
                <w:sz w:val="18"/>
              </w:rPr>
              <w:t>28</w:t>
            </w:r>
          </w:p>
        </w:tc>
        <w:tc>
          <w:tcPr>
            <w:tcW w:type="dxa" w:w="1234"/>
          </w:tcPr>
          <w:p>
            <w:r>
              <w:rPr>
                <w:rFonts w:ascii="Times New Roman" w:hAnsi="Times New Roman"/>
                <w:sz w:val="18"/>
              </w:rPr>
              <w:t>8</w:t>
            </w:r>
          </w:p>
        </w:tc>
        <w:tc>
          <w:tcPr>
            <w:tcW w:type="dxa" w:w="1234"/>
          </w:tcPr>
          <w:p>
            <w:r>
              <w:rPr>
                <w:rFonts w:ascii="Times New Roman" w:hAnsi="Times New Roman"/>
                <w:sz w:val="18"/>
              </w:rPr>
              <w:t>6</w:t>
            </w:r>
          </w:p>
        </w:tc>
        <w:tc>
          <w:tcPr>
            <w:tcW w:type="dxa" w:w="1234"/>
          </w:tcPr>
          <w:p>
            <w:r>
              <w:rPr>
                <w:rFonts w:ascii="Times New Roman" w:hAnsi="Times New Roman"/>
                <w:sz w:val="18"/>
              </w:rPr>
              <w:t>5</w:t>
            </w:r>
          </w:p>
        </w:tc>
        <w:tc>
          <w:tcPr>
            <w:tcW w:type="dxa" w:w="1234"/>
          </w:tcPr>
          <w:p>
            <w:r>
              <w:rPr>
                <w:rFonts w:ascii="Times New Roman" w:hAnsi="Times New Roman"/>
                <w:sz w:val="18"/>
              </w:rPr>
            </w:r>
          </w:p>
        </w:tc>
      </w:tr>
    </w:tbl>
    <w:p/>
    <w:p>
      <w:pPr>
        <w:pStyle w:val="Heading2"/>
      </w:pPr>
      <w:r>
        <w:rPr>
          <w:color w:val="000000"/>
        </w:rPr>
        <w:t>表2. 歯科研究の特性</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8"/>
              </w:rPr>
              <w:t>研究</w:t>
            </w:r>
          </w:p>
        </w:tc>
        <w:tc>
          <w:tcPr>
            <w:tcW w:type="dxa" w:w="1440"/>
          </w:tcPr>
          <w:p>
            <w:r>
              <w:rPr>
                <w:rFonts w:ascii="Times New Roman" w:hAnsi="Times New Roman"/>
                <w:b/>
                <w:sz w:val="18"/>
              </w:rPr>
              <w:t>デザイン</w:t>
            </w:r>
          </w:p>
        </w:tc>
        <w:tc>
          <w:tcPr>
            <w:tcW w:type="dxa" w:w="1440"/>
          </w:tcPr>
          <w:p>
            <w:r>
              <w:rPr>
                <w:rFonts w:ascii="Times New Roman" w:hAnsi="Times New Roman"/>
                <w:b/>
                <w:sz w:val="18"/>
              </w:rPr>
              <w:t>n</w:t>
            </w:r>
          </w:p>
        </w:tc>
        <w:tc>
          <w:tcPr>
            <w:tcW w:type="dxa" w:w="1440"/>
          </w:tcPr>
          <w:p>
            <w:r>
              <w:rPr>
                <w:rFonts w:ascii="Times New Roman" w:hAnsi="Times New Roman"/>
                <w:b/>
                <w:sz w:val="18"/>
              </w:rPr>
              <w:t>冷凍麻酔法</w:t>
            </w:r>
          </w:p>
        </w:tc>
        <w:tc>
          <w:tcPr>
            <w:tcW w:type="dxa" w:w="1440"/>
          </w:tcPr>
          <w:p>
            <w:r>
              <w:rPr>
                <w:rFonts w:ascii="Times New Roman" w:hAnsi="Times New Roman"/>
                <w:b/>
                <w:sz w:val="18"/>
              </w:rPr>
              <w:t>比較対照</w:t>
            </w:r>
          </w:p>
        </w:tc>
        <w:tc>
          <w:tcPr>
            <w:tcW w:type="dxa" w:w="1440"/>
          </w:tcPr>
          <w:p>
            <w:r>
              <w:rPr>
                <w:rFonts w:ascii="Times New Roman" w:hAnsi="Times New Roman"/>
                <w:b/>
                <w:sz w:val="18"/>
              </w:rPr>
              <w:t>主要知見</w:t>
            </w:r>
          </w:p>
        </w:tc>
      </w:tr>
      <w:tr>
        <w:tc>
          <w:tcPr>
            <w:tcW w:type="dxa" w:w="1440"/>
          </w:tcPr>
          <w:p>
            <w:r>
              <w:rPr>
                <w:rFonts w:ascii="Times New Roman" w:hAnsi="Times New Roman"/>
                <w:sz w:val="18"/>
              </w:rPr>
              <w:t>Rai 2024</w:t>
            </w:r>
          </w:p>
        </w:tc>
        <w:tc>
          <w:tcPr>
            <w:tcW w:type="dxa" w:w="1440"/>
          </w:tcPr>
          <w:p>
            <w:r>
              <w:rPr>
                <w:rFonts w:ascii="Times New Roman" w:hAnsi="Times New Roman"/>
                <w:sz w:val="18"/>
              </w:rPr>
              <w:t>RCT（スプリットマウス）</w:t>
            </w:r>
          </w:p>
        </w:tc>
        <w:tc>
          <w:tcPr>
            <w:tcW w:type="dxa" w:w="1440"/>
          </w:tcPr>
          <w:p>
            <w:r>
              <w:rPr>
                <w:rFonts w:ascii="Times New Roman" w:hAnsi="Times New Roman"/>
                <w:sz w:val="18"/>
              </w:rPr>
              <w:t>60</w:t>
            </w:r>
          </w:p>
        </w:tc>
        <w:tc>
          <w:tcPr>
            <w:tcW w:type="dxa" w:w="1440"/>
          </w:tcPr>
          <w:p>
            <w:r>
              <w:rPr>
                <w:rFonts w:ascii="Times New Roman" w:hAnsi="Times New Roman"/>
                <w:sz w:val="18"/>
              </w:rPr>
              <w:t>アイススティック (2分)</w:t>
            </w:r>
          </w:p>
        </w:tc>
        <w:tc>
          <w:tcPr>
            <w:tcW w:type="dxa" w:w="1440"/>
          </w:tcPr>
          <w:p>
            <w:r>
              <w:rPr>
                <w:rFonts w:ascii="Times New Roman" w:hAnsi="Times New Roman"/>
                <w:sz w:val="18"/>
              </w:rPr>
              <w:t>20%ベンゾカイン</w:t>
            </w:r>
          </w:p>
        </w:tc>
        <w:tc>
          <w:tcPr>
            <w:tcW w:type="dxa" w:w="1440"/>
          </w:tcPr>
          <w:p>
            <w:r>
              <w:rPr>
                <w:rFonts w:ascii="Times New Roman" w:hAnsi="Times New Roman"/>
                <w:sz w:val="18"/>
              </w:rPr>
              <w:t>非劣性 (VAS 11 vs 10; P=0.955)</w:t>
            </w:r>
          </w:p>
        </w:tc>
      </w:tr>
      <w:tr>
        <w:tc>
          <w:tcPr>
            <w:tcW w:type="dxa" w:w="1440"/>
          </w:tcPr>
          <w:p>
            <w:r>
              <w:rPr>
                <w:rFonts w:ascii="Times New Roman" w:hAnsi="Times New Roman"/>
                <w:sz w:val="18"/>
              </w:rPr>
              <w:t>Abbasi 2023</w:t>
            </w:r>
          </w:p>
        </w:tc>
        <w:tc>
          <w:tcPr>
            <w:tcW w:type="dxa" w:w="1440"/>
          </w:tcPr>
          <w:p>
            <w:r>
              <w:rPr>
                <w:rFonts w:ascii="Times New Roman" w:hAnsi="Times New Roman"/>
                <w:sz w:val="18"/>
              </w:rPr>
              <w:t>RCT</w:t>
            </w:r>
          </w:p>
        </w:tc>
        <w:tc>
          <w:tcPr>
            <w:tcW w:type="dxa" w:w="1440"/>
          </w:tcPr>
          <w:p>
            <w:r>
              <w:rPr>
                <w:rFonts w:ascii="Times New Roman" w:hAnsi="Times New Roman"/>
                <w:sz w:val="18"/>
              </w:rPr>
              <w:t>90</w:t>
            </w:r>
          </w:p>
        </w:tc>
        <w:tc>
          <w:tcPr>
            <w:tcW w:type="dxa" w:w="1440"/>
          </w:tcPr>
          <w:p>
            <w:r>
              <w:rPr>
                <w:rFonts w:ascii="Times New Roman" w:hAnsi="Times New Roman"/>
                <w:sz w:val="18"/>
              </w:rPr>
              <w:t>エチルクロライドスプレー</w:t>
            </w:r>
          </w:p>
        </w:tc>
        <w:tc>
          <w:tcPr>
            <w:tcW w:type="dxa" w:w="1440"/>
          </w:tcPr>
          <w:p>
            <w:r>
              <w:rPr>
                <w:rFonts w:ascii="Times New Roman" w:hAnsi="Times New Roman"/>
                <w:sz w:val="18"/>
              </w:rPr>
              <w:t>5%リドカインゲル</w:t>
            </w:r>
          </w:p>
        </w:tc>
        <w:tc>
          <w:tcPr>
            <w:tcW w:type="dxa" w:w="1440"/>
          </w:tcPr>
          <w:p>
            <w:r>
              <w:rPr>
                <w:rFonts w:ascii="Times New Roman" w:hAnsi="Times New Roman"/>
                <w:sz w:val="18"/>
              </w:rPr>
              <w:t>冷凍麻酔優位 (P&lt;0.05)</w:t>
            </w:r>
          </w:p>
        </w:tc>
      </w:tr>
      <w:tr>
        <w:tc>
          <w:tcPr>
            <w:tcW w:type="dxa" w:w="1440"/>
          </w:tcPr>
          <w:p>
            <w:r>
              <w:rPr>
                <w:rFonts w:ascii="Times New Roman" w:hAnsi="Times New Roman"/>
                <w:sz w:val="18"/>
              </w:rPr>
              <w:t>Chilakamuri 2020</w:t>
            </w:r>
          </w:p>
        </w:tc>
        <w:tc>
          <w:tcPr>
            <w:tcW w:type="dxa" w:w="1440"/>
          </w:tcPr>
          <w:p>
            <w:r>
              <w:rPr>
                <w:rFonts w:ascii="Times New Roman" w:hAnsi="Times New Roman"/>
                <w:sz w:val="18"/>
              </w:rPr>
              <w:t>RCT（クロスオーバー）</w:t>
            </w:r>
          </w:p>
        </w:tc>
        <w:tc>
          <w:tcPr>
            <w:tcW w:type="dxa" w:w="1440"/>
          </w:tcPr>
          <w:p>
            <w:r>
              <w:rPr>
                <w:rFonts w:ascii="Times New Roman" w:hAnsi="Times New Roman"/>
                <w:sz w:val="18"/>
              </w:rPr>
              <w:t>30</w:t>
            </w:r>
          </w:p>
        </w:tc>
        <w:tc>
          <w:tcPr>
            <w:tcW w:type="dxa" w:w="1440"/>
          </w:tcPr>
          <w:p>
            <w:r>
              <w:rPr>
                <w:rFonts w:ascii="Times New Roman" w:hAnsi="Times New Roman"/>
                <w:sz w:val="18"/>
              </w:rPr>
              <w:t>アイスペンシル (2分)</w:t>
            </w:r>
          </w:p>
        </w:tc>
        <w:tc>
          <w:tcPr>
            <w:tcW w:type="dxa" w:w="1440"/>
          </w:tcPr>
          <w:p>
            <w:r>
              <w:rPr>
                <w:rFonts w:ascii="Times New Roman" w:hAnsi="Times New Roman"/>
                <w:sz w:val="18"/>
              </w:rPr>
              <w:t>5%リグノカインゲル</w:t>
            </w:r>
          </w:p>
        </w:tc>
        <w:tc>
          <w:tcPr>
            <w:tcW w:type="dxa" w:w="1440"/>
          </w:tcPr>
          <w:p>
            <w:r>
              <w:rPr>
                <w:rFonts w:ascii="Times New Roman" w:hAnsi="Times New Roman"/>
                <w:sz w:val="18"/>
              </w:rPr>
              <w:t>非劣性</w:t>
            </w:r>
          </w:p>
        </w:tc>
      </w:tr>
      <w:tr>
        <w:tc>
          <w:tcPr>
            <w:tcW w:type="dxa" w:w="1440"/>
          </w:tcPr>
          <w:p>
            <w:r>
              <w:rPr>
                <w:rFonts w:ascii="Times New Roman" w:hAnsi="Times New Roman"/>
                <w:sz w:val="18"/>
              </w:rPr>
              <w:t>Hindocha 2019</w:t>
            </w:r>
          </w:p>
        </w:tc>
        <w:tc>
          <w:tcPr>
            <w:tcW w:type="dxa" w:w="1440"/>
          </w:tcPr>
          <w:p>
            <w:r>
              <w:rPr>
                <w:rFonts w:ascii="Times New Roman" w:hAnsi="Times New Roman"/>
                <w:sz w:val="18"/>
              </w:rPr>
              <w:t>RCT（クロスオーバー）</w:t>
            </w:r>
          </w:p>
        </w:tc>
        <w:tc>
          <w:tcPr>
            <w:tcW w:type="dxa" w:w="1440"/>
          </w:tcPr>
          <w:p>
            <w:r>
              <w:rPr>
                <w:rFonts w:ascii="Times New Roman" w:hAnsi="Times New Roman"/>
                <w:sz w:val="18"/>
              </w:rPr>
              <w:t>36</w:t>
            </w:r>
          </w:p>
        </w:tc>
        <w:tc>
          <w:tcPr>
            <w:tcW w:type="dxa" w:w="1440"/>
          </w:tcPr>
          <w:p>
            <w:r>
              <w:rPr>
                <w:rFonts w:ascii="Times New Roman" w:hAnsi="Times New Roman"/>
                <w:sz w:val="18"/>
              </w:rPr>
              <w:t>氷 (2分)</w:t>
            </w:r>
          </w:p>
        </w:tc>
        <w:tc>
          <w:tcPr>
            <w:tcW w:type="dxa" w:w="1440"/>
          </w:tcPr>
          <w:p>
            <w:r>
              <w:rPr>
                <w:rFonts w:ascii="Times New Roman" w:hAnsi="Times New Roman"/>
                <w:sz w:val="18"/>
              </w:rPr>
              <w:t>5%リドカインゲル</w:t>
            </w:r>
          </w:p>
        </w:tc>
        <w:tc>
          <w:tcPr>
            <w:tcW w:type="dxa" w:w="1440"/>
          </w:tcPr>
          <w:p>
            <w:r>
              <w:rPr>
                <w:rFonts w:ascii="Times New Roman" w:hAnsi="Times New Roman"/>
                <w:sz w:val="18"/>
              </w:rPr>
              <w:t>同等</w:t>
            </w:r>
          </w:p>
        </w:tc>
      </w:tr>
      <w:tr>
        <w:tc>
          <w:tcPr>
            <w:tcW w:type="dxa" w:w="1440"/>
          </w:tcPr>
          <w:p>
            <w:r>
              <w:rPr>
                <w:rFonts w:ascii="Times New Roman" w:hAnsi="Times New Roman"/>
                <w:sz w:val="18"/>
              </w:rPr>
              <w:t>Peedikayil 2024</w:t>
            </w:r>
          </w:p>
        </w:tc>
        <w:tc>
          <w:tcPr>
            <w:tcW w:type="dxa" w:w="1440"/>
          </w:tcPr>
          <w:p>
            <w:r>
              <w:rPr>
                <w:rFonts w:ascii="Times New Roman" w:hAnsi="Times New Roman"/>
                <w:sz w:val="18"/>
              </w:rPr>
              <w:t>RCT（スプリットマウス）</w:t>
            </w:r>
          </w:p>
        </w:tc>
        <w:tc>
          <w:tcPr>
            <w:tcW w:type="dxa" w:w="1440"/>
          </w:tcPr>
          <w:p>
            <w:r>
              <w:rPr>
                <w:rFonts w:ascii="Times New Roman" w:hAnsi="Times New Roman"/>
                <w:sz w:val="18"/>
              </w:rPr>
              <w:t>28</w:t>
            </w:r>
          </w:p>
        </w:tc>
        <w:tc>
          <w:tcPr>
            <w:tcW w:type="dxa" w:w="1440"/>
          </w:tcPr>
          <w:p>
            <w:r>
              <w:rPr>
                <w:rFonts w:ascii="Times New Roman" w:hAnsi="Times New Roman"/>
                <w:sz w:val="18"/>
              </w:rPr>
              <w:t>クライオスプレー + IANB</w:t>
            </w:r>
          </w:p>
        </w:tc>
        <w:tc>
          <w:tcPr>
            <w:tcW w:type="dxa" w:w="1440"/>
          </w:tcPr>
          <w:p>
            <w:r>
              <w:rPr>
                <w:rFonts w:ascii="Times New Roman" w:hAnsi="Times New Roman"/>
                <w:sz w:val="18"/>
              </w:rPr>
              <w:t>IANB単独</w:t>
            </w:r>
          </w:p>
        </w:tc>
        <w:tc>
          <w:tcPr>
            <w:tcW w:type="dxa" w:w="1440"/>
          </w:tcPr>
          <w:p>
            <w:r>
              <w:rPr>
                <w:rFonts w:ascii="Times New Roman" w:hAnsi="Times New Roman"/>
                <w:sz w:val="18"/>
              </w:rPr>
              <w:t>補助的使用優位</w:t>
            </w:r>
          </w:p>
        </w:tc>
      </w:tr>
      <w:tr>
        <w:tc>
          <w:tcPr>
            <w:tcW w:type="dxa" w:w="1440"/>
          </w:tcPr>
          <w:p>
            <w:r>
              <w:rPr>
                <w:rFonts w:ascii="Times New Roman" w:hAnsi="Times New Roman"/>
                <w:sz w:val="18"/>
              </w:rPr>
              <w:t>Sci Rep 2025</w:t>
            </w:r>
          </w:p>
        </w:tc>
        <w:tc>
          <w:tcPr>
            <w:tcW w:type="dxa" w:w="1440"/>
          </w:tcPr>
          <w:p>
            <w:r>
              <w:rPr>
                <w:rFonts w:ascii="Times New Roman" w:hAnsi="Times New Roman"/>
                <w:sz w:val="18"/>
              </w:rPr>
              <w:t>RCT（二重盲検）</w:t>
            </w:r>
          </w:p>
        </w:tc>
        <w:tc>
          <w:tcPr>
            <w:tcW w:type="dxa" w:w="1440"/>
          </w:tcPr>
          <w:p>
            <w:r>
              <w:rPr>
                <w:rFonts w:ascii="Times New Roman" w:hAnsi="Times New Roman"/>
                <w:sz w:val="18"/>
              </w:rPr>
              <w:t>40</w:t>
            </w:r>
          </w:p>
        </w:tc>
        <w:tc>
          <w:tcPr>
            <w:tcW w:type="dxa" w:w="1440"/>
          </w:tcPr>
          <w:p>
            <w:r>
              <w:rPr>
                <w:rFonts w:ascii="Times New Roman" w:hAnsi="Times New Roman"/>
                <w:sz w:val="18"/>
              </w:rPr>
              <w:t>冷却LA (4-5°C)</w:t>
            </w:r>
          </w:p>
        </w:tc>
        <w:tc>
          <w:tcPr>
            <w:tcW w:type="dxa" w:w="1440"/>
          </w:tcPr>
          <w:p>
            <w:r>
              <w:rPr>
                <w:rFonts w:ascii="Times New Roman" w:hAnsi="Times New Roman"/>
                <w:sz w:val="18"/>
              </w:rPr>
              <w:t>室温LA</w:t>
            </w:r>
          </w:p>
        </w:tc>
        <w:tc>
          <w:tcPr>
            <w:tcW w:type="dxa" w:w="1440"/>
          </w:tcPr>
          <w:p>
            <w:r>
              <w:rPr>
                <w:rFonts w:ascii="Times New Roman" w:hAnsi="Times New Roman"/>
                <w:sz w:val="18"/>
              </w:rPr>
              <w:t>100% vs 80% (P&lt;0.001)</w:t>
            </w:r>
          </w:p>
        </w:tc>
      </w:tr>
    </w:tbl>
    <w:p/>
    <w:p>
      <w:pPr>
        <w:pStyle w:val="Heading2"/>
      </w:pPr>
      <w:r>
        <w:rPr>
          <w:color w:val="000000"/>
        </w:rPr>
        <w:t>表3. 局所麻酔薬不足時の冷凍麻酔導入階層化フレームワーク</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t>ティア</w:t>
            </w:r>
          </w:p>
        </w:tc>
        <w:tc>
          <w:tcPr>
            <w:tcW w:type="dxa" w:w="1728"/>
          </w:tcPr>
          <w:p>
            <w:r>
              <w:rPr>
                <w:rFonts w:ascii="Times New Roman" w:hAnsi="Times New Roman"/>
                <w:b/>
                <w:sz w:val="18"/>
              </w:rPr>
              <w:t>臨床応用</w:t>
            </w:r>
          </w:p>
        </w:tc>
        <w:tc>
          <w:tcPr>
            <w:tcW w:type="dxa" w:w="1728"/>
          </w:tcPr>
          <w:p>
            <w:r>
              <w:rPr>
                <w:rFonts w:ascii="Times New Roman" w:hAnsi="Times New Roman"/>
                <w:b/>
                <w:sz w:val="18"/>
              </w:rPr>
              <w:t>モダリティ</w:t>
            </w:r>
          </w:p>
        </w:tc>
        <w:tc>
          <w:tcPr>
            <w:tcW w:type="dxa" w:w="1728"/>
          </w:tcPr>
          <w:p>
            <w:r>
              <w:rPr>
                <w:rFonts w:ascii="Times New Roman" w:hAnsi="Times New Roman"/>
                <w:b/>
                <w:sz w:val="18"/>
              </w:rPr>
              <w:t>エビデンス</w:t>
            </w:r>
          </w:p>
        </w:tc>
        <w:tc>
          <w:tcPr>
            <w:tcW w:type="dxa" w:w="1728"/>
          </w:tcPr>
          <w:p>
            <w:r>
              <w:rPr>
                <w:rFonts w:ascii="Times New Roman" w:hAnsi="Times New Roman"/>
                <w:b/>
                <w:sz w:val="18"/>
              </w:rPr>
              <w:t>導入準備状況</w:t>
            </w:r>
          </w:p>
        </w:tc>
      </w:tr>
      <w:tr>
        <w:tc>
          <w:tcPr>
            <w:tcW w:type="dxa" w:w="1728"/>
          </w:tcPr>
          <w:p>
            <w:r>
              <w:rPr>
                <w:rFonts w:ascii="Times New Roman" w:hAnsi="Times New Roman"/>
                <w:sz w:val="18"/>
              </w:rPr>
              <w:t>1（強）</w:t>
            </w:r>
          </w:p>
        </w:tc>
        <w:tc>
          <w:tcPr>
            <w:tcW w:type="dxa" w:w="1728"/>
          </w:tcPr>
          <w:p>
            <w:r>
              <w:rPr>
                <w:rFonts w:ascii="Times New Roman" w:hAnsi="Times New Roman"/>
                <w:sz w:val="18"/>
              </w:rPr>
              <w:t>歯科注射前鎮痛</w:t>
            </w:r>
          </w:p>
        </w:tc>
        <w:tc>
          <w:tcPr>
            <w:tcW w:type="dxa" w:w="1728"/>
          </w:tcPr>
          <w:p>
            <w:r>
              <w:rPr>
                <w:rFonts w:ascii="Times New Roman" w:hAnsi="Times New Roman"/>
                <w:sz w:val="18"/>
              </w:rPr>
              <w:t>氷 (2分)</w:t>
            </w:r>
          </w:p>
        </w:tc>
        <w:tc>
          <w:tcPr>
            <w:tcW w:type="dxa" w:w="1728"/>
          </w:tcPr>
          <w:p>
            <w:r>
              <w:rPr>
                <w:rFonts w:ascii="Times New Roman" w:hAnsi="Times New Roman"/>
                <w:sz w:val="18"/>
              </w:rPr>
              <w:t>複数RCT、SR 3件</w:t>
            </w:r>
          </w:p>
        </w:tc>
        <w:tc>
          <w:tcPr>
            <w:tcW w:type="dxa" w:w="1728"/>
          </w:tcPr>
          <w:p>
            <w:r>
              <w:rPr>
                <w:rFonts w:ascii="Times New Roman" w:hAnsi="Times New Roman"/>
                <w:sz w:val="18"/>
              </w:rPr>
              <w:t>即時導入可能</w:t>
            </w:r>
          </w:p>
        </w:tc>
      </w:tr>
      <w:tr>
        <w:tc>
          <w:tcPr>
            <w:tcW w:type="dxa" w:w="1728"/>
          </w:tcPr>
          <w:p>
            <w:r>
              <w:rPr>
                <w:rFonts w:ascii="Times New Roman" w:hAnsi="Times New Roman"/>
                <w:sz w:val="18"/>
              </w:rPr>
              <w:t>1（強）</w:t>
            </w:r>
          </w:p>
        </w:tc>
        <w:tc>
          <w:tcPr>
            <w:tcW w:type="dxa" w:w="1728"/>
          </w:tcPr>
          <w:p>
            <w:r>
              <w:rPr>
                <w:rFonts w:ascii="Times New Roman" w:hAnsi="Times New Roman"/>
                <w:sz w:val="18"/>
              </w:rPr>
              <w:t>成人静脈穿刺</w:t>
            </w:r>
          </w:p>
        </w:tc>
        <w:tc>
          <w:tcPr>
            <w:tcW w:type="dxa" w:w="1728"/>
          </w:tcPr>
          <w:p>
            <w:r>
              <w:rPr>
                <w:rFonts w:ascii="Times New Roman" w:hAnsi="Times New Roman"/>
                <w:sz w:val="18"/>
              </w:rPr>
              <w:t>気化冷却スプレー</w:t>
            </w:r>
          </w:p>
        </w:tc>
        <w:tc>
          <w:tcPr>
            <w:tcW w:type="dxa" w:w="1728"/>
          </w:tcPr>
          <w:p>
            <w:r>
              <w:rPr>
                <w:rFonts w:ascii="Times New Roman" w:hAnsi="Times New Roman"/>
                <w:sz w:val="18"/>
              </w:rPr>
              <w:t>SR/MA (25 RCT)</w:t>
            </w:r>
          </w:p>
        </w:tc>
        <w:tc>
          <w:tcPr>
            <w:tcW w:type="dxa" w:w="1728"/>
          </w:tcPr>
          <w:p>
            <w:r>
              <w:rPr>
                <w:rFonts w:ascii="Times New Roman" w:hAnsi="Times New Roman"/>
                <w:sz w:val="18"/>
              </w:rPr>
              <w:t>即時導入可能</w:t>
            </w:r>
          </w:p>
        </w:tc>
      </w:tr>
      <w:tr>
        <w:tc>
          <w:tcPr>
            <w:tcW w:type="dxa" w:w="1728"/>
          </w:tcPr>
          <w:p>
            <w:r>
              <w:rPr>
                <w:rFonts w:ascii="Times New Roman" w:hAnsi="Times New Roman"/>
                <w:sz w:val="18"/>
              </w:rPr>
              <w:t>2（中）</w:t>
            </w:r>
          </w:p>
        </w:tc>
        <w:tc>
          <w:tcPr>
            <w:tcW w:type="dxa" w:w="1728"/>
          </w:tcPr>
          <w:p>
            <w:r>
              <w:rPr>
                <w:rFonts w:ascii="Times New Roman" w:hAnsi="Times New Roman"/>
                <w:sz w:val="18"/>
              </w:rPr>
              <w:t>皮膚科処置</w:t>
            </w:r>
          </w:p>
        </w:tc>
        <w:tc>
          <w:tcPr>
            <w:tcW w:type="dxa" w:w="1728"/>
          </w:tcPr>
          <w:p>
            <w:r>
              <w:rPr>
                <w:rFonts w:ascii="Times New Roman" w:hAnsi="Times New Roman"/>
                <w:sz w:val="18"/>
              </w:rPr>
              <w:t>氷嚢</w:t>
            </w:r>
          </w:p>
        </w:tc>
        <w:tc>
          <w:tcPr>
            <w:tcW w:type="dxa" w:w="1728"/>
          </w:tcPr>
          <w:p>
            <w:r>
              <w:rPr>
                <w:rFonts w:ascii="Times New Roman" w:hAnsi="Times New Roman"/>
                <w:sz w:val="18"/>
              </w:rPr>
              <w:t>1 RCT</w:t>
            </w:r>
          </w:p>
        </w:tc>
        <w:tc>
          <w:tcPr>
            <w:tcW w:type="dxa" w:w="1728"/>
          </w:tcPr>
          <w:p>
            <w:r>
              <w:rPr>
                <w:rFonts w:ascii="Times New Roman" w:hAnsi="Times New Roman"/>
                <w:sz w:val="18"/>
              </w:rPr>
              <w:t>検証必要</w:t>
            </w:r>
          </w:p>
        </w:tc>
      </w:tr>
      <w:tr>
        <w:tc>
          <w:tcPr>
            <w:tcW w:type="dxa" w:w="1728"/>
          </w:tcPr>
          <w:p>
            <w:r>
              <w:rPr>
                <w:rFonts w:ascii="Times New Roman" w:hAnsi="Times New Roman"/>
                <w:sz w:val="18"/>
              </w:rPr>
              <w:t>2（中）</w:t>
            </w:r>
          </w:p>
        </w:tc>
        <w:tc>
          <w:tcPr>
            <w:tcW w:type="dxa" w:w="1728"/>
          </w:tcPr>
          <w:p>
            <w:r>
              <w:rPr>
                <w:rFonts w:ascii="Times New Roman" w:hAnsi="Times New Roman"/>
                <w:sz w:val="18"/>
              </w:rPr>
              <w:t>胸部外科後鎮痛</w:t>
            </w:r>
          </w:p>
        </w:tc>
        <w:tc>
          <w:tcPr>
            <w:tcW w:type="dxa" w:w="1728"/>
          </w:tcPr>
          <w:p>
            <w:r>
              <w:rPr>
                <w:rFonts w:ascii="Times New Roman" w:hAnsi="Times New Roman"/>
                <w:sz w:val="18"/>
              </w:rPr>
              <w:t>肋間クライオニューロリシス</w:t>
            </w:r>
          </w:p>
        </w:tc>
        <w:tc>
          <w:tcPr>
            <w:tcW w:type="dxa" w:w="1728"/>
          </w:tcPr>
          <w:p>
            <w:r>
              <w:rPr>
                <w:rFonts w:ascii="Times New Roman" w:hAnsi="Times New Roman"/>
                <w:sz w:val="18"/>
              </w:rPr>
              <w:t>2 SR, 4 RCT</w:t>
            </w:r>
          </w:p>
        </w:tc>
        <w:tc>
          <w:tcPr>
            <w:tcW w:type="dxa" w:w="1728"/>
          </w:tcPr>
          <w:p>
            <w:r>
              <w:rPr>
                <w:rFonts w:ascii="Times New Roman" w:hAnsi="Times New Roman"/>
                <w:sz w:val="18"/>
              </w:rPr>
              <w:t>機器依存</w:t>
            </w:r>
          </w:p>
        </w:tc>
      </w:tr>
      <w:tr>
        <w:tc>
          <w:tcPr>
            <w:tcW w:type="dxa" w:w="1728"/>
          </w:tcPr>
          <w:p>
            <w:r>
              <w:rPr>
                <w:rFonts w:ascii="Times New Roman" w:hAnsi="Times New Roman"/>
                <w:sz w:val="18"/>
              </w:rPr>
              <w:t>3（研究）</w:t>
            </w:r>
          </w:p>
        </w:tc>
        <w:tc>
          <w:tcPr>
            <w:tcW w:type="dxa" w:w="1728"/>
          </w:tcPr>
          <w:p>
            <w:r>
              <w:rPr>
                <w:rFonts w:ascii="Times New Roman" w:hAnsi="Times New Roman"/>
                <w:sz w:val="18"/>
              </w:rPr>
              <w:t>神経ブロック代替</w:t>
            </w:r>
          </w:p>
        </w:tc>
        <w:tc>
          <w:tcPr>
            <w:tcW w:type="dxa" w:w="1728"/>
          </w:tcPr>
          <w:p>
            <w:r>
              <w:rPr>
                <w:rFonts w:ascii="Times New Roman" w:hAnsi="Times New Roman"/>
                <w:sz w:val="18"/>
              </w:rPr>
              <w:t>経皮的クライオニューロリシス</w:t>
            </w:r>
          </w:p>
        </w:tc>
        <w:tc>
          <w:tcPr>
            <w:tcW w:type="dxa" w:w="1728"/>
          </w:tcPr>
          <w:p>
            <w:r>
              <w:rPr>
                <w:rFonts w:ascii="Times New Roman" w:hAnsi="Times New Roman"/>
                <w:sz w:val="18"/>
              </w:rPr>
              <w:t>2パイロットRCT</w:t>
            </w:r>
          </w:p>
        </w:tc>
        <w:tc>
          <w:tcPr>
            <w:tcW w:type="dxa" w:w="1728"/>
          </w:tcPr>
          <w:p>
            <w:r>
              <w:rPr>
                <w:rFonts w:ascii="Times New Roman" w:hAnsi="Times New Roman"/>
                <w:sz w:val="18"/>
              </w:rPr>
              <w:t>臨床試験必要</w:t>
            </w:r>
          </w:p>
        </w:tc>
      </w:tr>
    </w:tbl>
    <w:p/>
    <w:p>
      <w:pPr>
        <w:pStyle w:val="Heading2"/>
      </w:pPr>
      <w:r>
        <w:rPr>
          <w:color w:val="000000"/>
        </w:rPr>
        <w:t>表4. 投稿先ジャーナル比較</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8"/>
              </w:rPr>
              <w:t>ジャーナル</w:t>
            </w:r>
          </w:p>
        </w:tc>
        <w:tc>
          <w:tcPr>
            <w:tcW w:type="dxa" w:w="1440"/>
          </w:tcPr>
          <w:p>
            <w:r>
              <w:rPr>
                <w:rFonts w:ascii="Times New Roman" w:hAnsi="Times New Roman"/>
                <w:b/>
                <w:sz w:val="18"/>
              </w:rPr>
              <w:t>IF</w:t>
            </w:r>
          </w:p>
        </w:tc>
        <w:tc>
          <w:tcPr>
            <w:tcW w:type="dxa" w:w="1440"/>
          </w:tcPr>
          <w:p>
            <w:r>
              <w:rPr>
                <w:rFonts w:ascii="Times New Roman" w:hAnsi="Times New Roman"/>
                <w:b/>
                <w:sz w:val="18"/>
              </w:rPr>
              <w:t>語数制限</w:t>
            </w:r>
          </w:p>
        </w:tc>
        <w:tc>
          <w:tcPr>
            <w:tcW w:type="dxa" w:w="1440"/>
          </w:tcPr>
          <w:p>
            <w:r>
              <w:rPr>
                <w:rFonts w:ascii="Times New Roman" w:hAnsi="Times New Roman"/>
                <w:b/>
                <w:sz w:val="18"/>
              </w:rPr>
              <w:t>参考文献制限</w:t>
            </w:r>
          </w:p>
        </w:tc>
        <w:tc>
          <w:tcPr>
            <w:tcW w:type="dxa" w:w="1440"/>
          </w:tcPr>
          <w:p>
            <w:r>
              <w:rPr>
                <w:rFonts w:ascii="Times New Roman" w:hAnsi="Times New Roman"/>
                <w:b/>
                <w:sz w:val="18"/>
              </w:rPr>
              <w:t>スコープ適合性</w:t>
            </w:r>
          </w:p>
        </w:tc>
        <w:tc>
          <w:tcPr>
            <w:tcW w:type="dxa" w:w="1440"/>
          </w:tcPr>
          <w:p>
            <w:r>
              <w:rPr>
                <w:rFonts w:ascii="Times New Roman" w:hAnsi="Times New Roman"/>
                <w:b/>
                <w:sz w:val="18"/>
              </w:rPr>
              <w:t>APC (USD)</w:t>
            </w:r>
          </w:p>
        </w:tc>
      </w:tr>
      <w:tr>
        <w:tc>
          <w:tcPr>
            <w:tcW w:type="dxa" w:w="1440"/>
          </w:tcPr>
          <w:p>
            <w:r>
              <w:rPr>
                <w:rFonts w:ascii="Times New Roman" w:hAnsi="Times New Roman"/>
                <w:sz w:val="18"/>
              </w:rPr>
              <w:t>British Journal of Anaesthesia</w:t>
            </w:r>
          </w:p>
        </w:tc>
        <w:tc>
          <w:tcPr>
            <w:tcW w:type="dxa" w:w="1440"/>
          </w:tcPr>
          <w:p>
            <w:r>
              <w:rPr>
                <w:rFonts w:ascii="Times New Roman" w:hAnsi="Times New Roman"/>
                <w:sz w:val="18"/>
              </w:rPr>
              <w:t>9.2</w:t>
            </w:r>
          </w:p>
        </w:tc>
        <w:tc>
          <w:tcPr>
            <w:tcW w:type="dxa" w:w="1440"/>
          </w:tcPr>
          <w:p>
            <w:r>
              <w:rPr>
                <w:rFonts w:ascii="Times New Roman" w:hAnsi="Times New Roman"/>
                <w:sz w:val="18"/>
              </w:rPr>
              <w:t>5000</w:t>
            </w:r>
          </w:p>
        </w:tc>
        <w:tc>
          <w:tcPr>
            <w:tcW w:type="dxa" w:w="1440"/>
          </w:tcPr>
          <w:p>
            <w:r>
              <w:rPr>
                <w:rFonts w:ascii="Times New Roman" w:hAnsi="Times New Roman"/>
                <w:sz w:val="18"/>
              </w:rPr>
              <w:t>150</w:t>
            </w:r>
          </w:p>
        </w:tc>
        <w:tc>
          <w:tcPr>
            <w:tcW w:type="dxa" w:w="1440"/>
          </w:tcPr>
          <w:p>
            <w:r>
              <w:rPr>
                <w:rFonts w:ascii="Times New Roman" w:hAnsi="Times New Roman"/>
                <w:sz w:val="18"/>
              </w:rPr>
              <w:t>直接的（麻酔）</w:t>
            </w:r>
          </w:p>
        </w:tc>
        <w:tc>
          <w:tcPr>
            <w:tcW w:type="dxa" w:w="1440"/>
          </w:tcPr>
          <w:p>
            <w:r>
              <w:rPr>
                <w:rFonts w:ascii="Times New Roman" w:hAnsi="Times New Roman"/>
                <w:sz w:val="18"/>
              </w:rPr>
              <w:t>~3000</w:t>
            </w:r>
          </w:p>
        </w:tc>
      </w:tr>
      <w:tr>
        <w:tc>
          <w:tcPr>
            <w:tcW w:type="dxa" w:w="1440"/>
          </w:tcPr>
          <w:p>
            <w:r>
              <w:rPr>
                <w:rFonts w:ascii="Times New Roman" w:hAnsi="Times New Roman"/>
                <w:sz w:val="18"/>
              </w:rPr>
              <w:t>Anaesthesia</w:t>
            </w:r>
          </w:p>
        </w:tc>
        <w:tc>
          <w:tcPr>
            <w:tcW w:type="dxa" w:w="1440"/>
          </w:tcPr>
          <w:p>
            <w:r>
              <w:rPr>
                <w:rFonts w:ascii="Times New Roman" w:hAnsi="Times New Roman"/>
                <w:sz w:val="18"/>
              </w:rPr>
              <w:t>9.1</w:t>
            </w:r>
          </w:p>
        </w:tc>
        <w:tc>
          <w:tcPr>
            <w:tcW w:type="dxa" w:w="1440"/>
          </w:tcPr>
          <w:p>
            <w:r>
              <w:rPr>
                <w:rFonts w:ascii="Times New Roman" w:hAnsi="Times New Roman"/>
                <w:sz w:val="18"/>
              </w:rPr>
              <w:t>5000</w:t>
            </w:r>
          </w:p>
        </w:tc>
        <w:tc>
          <w:tcPr>
            <w:tcW w:type="dxa" w:w="1440"/>
          </w:tcPr>
          <w:p>
            <w:r>
              <w:rPr>
                <w:rFonts w:ascii="Times New Roman" w:hAnsi="Times New Roman"/>
                <w:sz w:val="18"/>
              </w:rPr>
              <w:t>100</w:t>
            </w:r>
          </w:p>
        </w:tc>
        <w:tc>
          <w:tcPr>
            <w:tcW w:type="dxa" w:w="1440"/>
          </w:tcPr>
          <w:p>
            <w:r>
              <w:rPr>
                <w:rFonts w:ascii="Times New Roman" w:hAnsi="Times New Roman"/>
                <w:sz w:val="18"/>
              </w:rPr>
              <w:t>直接的（麻酔）</w:t>
            </w:r>
          </w:p>
        </w:tc>
        <w:tc>
          <w:tcPr>
            <w:tcW w:type="dxa" w:w="1440"/>
          </w:tcPr>
          <w:p>
            <w:r>
              <w:rPr>
                <w:rFonts w:ascii="Times New Roman" w:hAnsi="Times New Roman"/>
                <w:sz w:val="18"/>
              </w:rPr>
              <w:t>~3200</w:t>
            </w:r>
          </w:p>
        </w:tc>
      </w:tr>
      <w:tr>
        <w:tc>
          <w:tcPr>
            <w:tcW w:type="dxa" w:w="1440"/>
          </w:tcPr>
          <w:p>
            <w:r>
              <w:rPr>
                <w:rFonts w:ascii="Times New Roman" w:hAnsi="Times New Roman"/>
                <w:sz w:val="18"/>
              </w:rPr>
              <w:t>BMJ</w:t>
            </w:r>
          </w:p>
        </w:tc>
        <w:tc>
          <w:tcPr>
            <w:tcW w:type="dxa" w:w="1440"/>
          </w:tcPr>
          <w:p>
            <w:r>
              <w:rPr>
                <w:rFonts w:ascii="Times New Roman" w:hAnsi="Times New Roman"/>
                <w:sz w:val="18"/>
              </w:rPr>
              <w:t>93.6</w:t>
            </w:r>
          </w:p>
        </w:tc>
        <w:tc>
          <w:tcPr>
            <w:tcW w:type="dxa" w:w="1440"/>
          </w:tcPr>
          <w:p>
            <w:r>
              <w:rPr>
                <w:rFonts w:ascii="Times New Roman" w:hAnsi="Times New Roman"/>
                <w:sz w:val="18"/>
              </w:rPr>
              <w:t>3000-4000</w:t>
            </w:r>
          </w:p>
        </w:tc>
        <w:tc>
          <w:tcPr>
            <w:tcW w:type="dxa" w:w="1440"/>
          </w:tcPr>
          <w:p>
            <w:r>
              <w:rPr>
                <w:rFonts w:ascii="Times New Roman" w:hAnsi="Times New Roman"/>
                <w:sz w:val="18"/>
              </w:rPr>
              <w:t>30-40</w:t>
            </w:r>
          </w:p>
        </w:tc>
        <w:tc>
          <w:tcPr>
            <w:tcW w:type="dxa" w:w="1440"/>
          </w:tcPr>
          <w:p>
            <w:r>
              <w:rPr>
                <w:rFonts w:ascii="Times New Roman" w:hAnsi="Times New Roman"/>
                <w:sz w:val="18"/>
              </w:rPr>
              <w:t>医療政策角度</w:t>
            </w:r>
          </w:p>
        </w:tc>
        <w:tc>
          <w:tcPr>
            <w:tcW w:type="dxa" w:w="1440"/>
          </w:tcPr>
          <w:p>
            <w:r>
              <w:rPr>
                <w:rFonts w:ascii="Times New Roman" w:hAnsi="Times New Roman"/>
                <w:sz w:val="18"/>
              </w:rPr>
              <w:t>~4500</w:t>
            </w:r>
          </w:p>
        </w:tc>
      </w:tr>
      <w:tr>
        <w:tc>
          <w:tcPr>
            <w:tcW w:type="dxa" w:w="1440"/>
          </w:tcPr>
          <w:p>
            <w:r>
              <w:rPr>
                <w:rFonts w:ascii="Times New Roman" w:hAnsi="Times New Roman"/>
                <w:sz w:val="18"/>
              </w:rPr>
              <w:t>BMJ Open</w:t>
            </w:r>
          </w:p>
        </w:tc>
        <w:tc>
          <w:tcPr>
            <w:tcW w:type="dxa" w:w="1440"/>
          </w:tcPr>
          <w:p>
            <w:r>
              <w:rPr>
                <w:rFonts w:ascii="Times New Roman" w:hAnsi="Times New Roman"/>
                <w:sz w:val="18"/>
              </w:rPr>
              <w:t>2.3</w:t>
            </w:r>
          </w:p>
        </w:tc>
        <w:tc>
          <w:tcPr>
            <w:tcW w:type="dxa" w:w="1440"/>
          </w:tcPr>
          <w:p>
            <w:r>
              <w:rPr>
                <w:rFonts w:ascii="Times New Roman" w:hAnsi="Times New Roman"/>
                <w:sz w:val="18"/>
              </w:rPr>
              <w:t>制限なし</w:t>
            </w:r>
          </w:p>
        </w:tc>
        <w:tc>
          <w:tcPr>
            <w:tcW w:type="dxa" w:w="1440"/>
          </w:tcPr>
          <w:p>
            <w:r>
              <w:rPr>
                <w:rFonts w:ascii="Times New Roman" w:hAnsi="Times New Roman"/>
                <w:sz w:val="18"/>
              </w:rPr>
              <w:t>制限なし</w:t>
            </w:r>
          </w:p>
        </w:tc>
        <w:tc>
          <w:tcPr>
            <w:tcW w:type="dxa" w:w="1440"/>
          </w:tcPr>
          <w:p>
            <w:r>
              <w:rPr>
                <w:rFonts w:ascii="Times New Roman" w:hAnsi="Times New Roman"/>
                <w:sz w:val="18"/>
              </w:rPr>
              <w:t>幅広い医学</w:t>
            </w:r>
          </w:p>
        </w:tc>
        <w:tc>
          <w:tcPr>
            <w:tcW w:type="dxa" w:w="1440"/>
          </w:tcPr>
          <w:p>
            <w:r>
              <w:rPr>
                <w:rFonts w:ascii="Times New Roman" w:hAnsi="Times New Roman"/>
                <w:sz w:val="18"/>
              </w:rPr>
              <w:t>~2200</w:t>
            </w:r>
          </w:p>
        </w:tc>
      </w:tr>
      <w:tr>
        <w:tc>
          <w:tcPr>
            <w:tcW w:type="dxa" w:w="1440"/>
          </w:tcPr>
          <w:p>
            <w:r>
              <w:rPr>
                <w:rFonts w:ascii="Times New Roman" w:hAnsi="Times New Roman"/>
                <w:sz w:val="18"/>
              </w:rPr>
              <w:t>Anesthesiology</w:t>
            </w:r>
          </w:p>
        </w:tc>
        <w:tc>
          <w:tcPr>
            <w:tcW w:type="dxa" w:w="1440"/>
          </w:tcPr>
          <w:p>
            <w:r>
              <w:rPr>
                <w:rFonts w:ascii="Times New Roman" w:hAnsi="Times New Roman"/>
                <w:sz w:val="18"/>
              </w:rPr>
              <w:t>8.8</w:t>
            </w:r>
          </w:p>
        </w:tc>
        <w:tc>
          <w:tcPr>
            <w:tcW w:type="dxa" w:w="1440"/>
          </w:tcPr>
          <w:p>
            <w:r>
              <w:rPr>
                <w:rFonts w:ascii="Times New Roman" w:hAnsi="Times New Roman"/>
                <w:sz w:val="18"/>
              </w:rPr>
              <w:t>5000</w:t>
            </w:r>
          </w:p>
        </w:tc>
        <w:tc>
          <w:tcPr>
            <w:tcW w:type="dxa" w:w="1440"/>
          </w:tcPr>
          <w:p>
            <w:r>
              <w:rPr>
                <w:rFonts w:ascii="Times New Roman" w:hAnsi="Times New Roman"/>
                <w:sz w:val="18"/>
              </w:rPr>
              <w:t>150</w:t>
            </w:r>
          </w:p>
        </w:tc>
        <w:tc>
          <w:tcPr>
            <w:tcW w:type="dxa" w:w="1440"/>
          </w:tcPr>
          <w:p>
            <w:r>
              <w:rPr>
                <w:rFonts w:ascii="Times New Roman" w:hAnsi="Times New Roman"/>
                <w:sz w:val="18"/>
              </w:rPr>
              <w:t>直接的（麻酔）</w:t>
            </w:r>
          </w:p>
        </w:tc>
        <w:tc>
          <w:tcPr>
            <w:tcW w:type="dxa" w:w="1440"/>
          </w:tcPr>
          <w:p>
            <w:r>
              <w:rPr>
                <w:rFonts w:ascii="Times New Roman" w:hAnsi="Times New Roman"/>
                <w:sz w:val="18"/>
              </w:rPr>
              <w:t>~3000</w:t>
            </w:r>
          </w:p>
        </w:tc>
      </w:tr>
      <w:tr>
        <w:tc>
          <w:tcPr>
            <w:tcW w:type="dxa" w:w="1440"/>
          </w:tcPr>
          <w:p>
            <w:r>
              <w:rPr>
                <w:rFonts w:ascii="Times New Roman" w:hAnsi="Times New Roman"/>
                <w:sz w:val="18"/>
              </w:rPr>
              <w:t>RAPM</w:t>
            </w:r>
          </w:p>
        </w:tc>
        <w:tc>
          <w:tcPr>
            <w:tcW w:type="dxa" w:w="1440"/>
          </w:tcPr>
          <w:p>
            <w:r>
              <w:rPr>
                <w:rFonts w:ascii="Times New Roman" w:hAnsi="Times New Roman"/>
                <w:sz w:val="18"/>
              </w:rPr>
              <w:t>9.3</w:t>
            </w:r>
          </w:p>
        </w:tc>
        <w:tc>
          <w:tcPr>
            <w:tcW w:type="dxa" w:w="1440"/>
          </w:tcPr>
          <w:p>
            <w:r>
              <w:rPr>
                <w:rFonts w:ascii="Times New Roman" w:hAnsi="Times New Roman"/>
                <w:sz w:val="18"/>
              </w:rPr>
              <w:t>4000</w:t>
            </w:r>
          </w:p>
        </w:tc>
        <w:tc>
          <w:tcPr>
            <w:tcW w:type="dxa" w:w="1440"/>
          </w:tcPr>
          <w:p>
            <w:r>
              <w:rPr>
                <w:rFonts w:ascii="Times New Roman" w:hAnsi="Times New Roman"/>
                <w:sz w:val="18"/>
              </w:rPr>
              <w:t>60</w:t>
            </w:r>
          </w:p>
        </w:tc>
        <w:tc>
          <w:tcPr>
            <w:tcW w:type="dxa" w:w="1440"/>
          </w:tcPr>
          <w:p>
            <w:r>
              <w:rPr>
                <w:rFonts w:ascii="Times New Roman" w:hAnsi="Times New Roman"/>
                <w:sz w:val="18"/>
              </w:rPr>
              <w:t>クライオ焦点</w:t>
            </w:r>
          </w:p>
        </w:tc>
        <w:tc>
          <w:tcPr>
            <w:tcW w:type="dxa" w:w="1440"/>
          </w:tcPr>
          <w:p>
            <w:r>
              <w:rPr>
                <w:rFonts w:ascii="Times New Roman" w:hAnsi="Times New Roman"/>
                <w:sz w:val="18"/>
              </w:rPr>
              <w:t>~3500</w:t>
            </w:r>
          </w:p>
        </w:tc>
      </w:tr>
      <w:tr>
        <w:tc>
          <w:tcPr>
            <w:tcW w:type="dxa" w:w="1440"/>
          </w:tcPr>
          <w:p>
            <w:r>
              <w:rPr>
                <w:rFonts w:ascii="Times New Roman" w:hAnsi="Times New Roman"/>
                <w:sz w:val="18"/>
              </w:rPr>
              <w:t>Pharmacoepidemiol Drug Saf</w:t>
            </w:r>
          </w:p>
        </w:tc>
        <w:tc>
          <w:tcPr>
            <w:tcW w:type="dxa" w:w="1440"/>
          </w:tcPr>
          <w:p>
            <w:r>
              <w:rPr>
                <w:rFonts w:ascii="Times New Roman" w:hAnsi="Times New Roman"/>
                <w:sz w:val="18"/>
              </w:rPr>
              <w:t>3.2</w:t>
            </w:r>
          </w:p>
        </w:tc>
        <w:tc>
          <w:tcPr>
            <w:tcW w:type="dxa" w:w="1440"/>
          </w:tcPr>
          <w:p>
            <w:r>
              <w:rPr>
                <w:rFonts w:ascii="Times New Roman" w:hAnsi="Times New Roman"/>
                <w:sz w:val="18"/>
              </w:rPr>
              <w:t>4000</w:t>
            </w:r>
          </w:p>
        </w:tc>
        <w:tc>
          <w:tcPr>
            <w:tcW w:type="dxa" w:w="1440"/>
          </w:tcPr>
          <w:p>
            <w:r>
              <w:rPr>
                <w:rFonts w:ascii="Times New Roman" w:hAnsi="Times New Roman"/>
                <w:sz w:val="18"/>
              </w:rPr>
              <w:t>50</w:t>
            </w:r>
          </w:p>
        </w:tc>
        <w:tc>
          <w:tcPr>
            <w:tcW w:type="dxa" w:w="1440"/>
          </w:tcPr>
          <w:p>
            <w:r>
              <w:rPr>
                <w:rFonts w:ascii="Times New Roman" w:hAnsi="Times New Roman"/>
                <w:sz w:val="18"/>
              </w:rPr>
              <w:t>サプライチェーン焦点</w:t>
            </w:r>
          </w:p>
        </w:tc>
        <w:tc>
          <w:tcPr>
            <w:tcW w:type="dxa" w:w="1440"/>
          </w:tcPr>
          <w:p>
            <w:r>
              <w:rPr>
                <w:rFonts w:ascii="Times New Roman" w:hAnsi="Times New Roman"/>
                <w:sz w:val="18"/>
              </w:rPr>
              <w:t>~2800</w:t>
            </w:r>
          </w:p>
        </w:tc>
      </w:tr>
    </w:tbl>
    <w:p>
      <w:r>
        <w:br w:type="page"/>
      </w:r>
    </w:p>
    <w:p>
      <w:pPr>
        <w:pStyle w:val="Heading1"/>
      </w:pPr>
      <w:r>
        <w:rPr>
          <w:color w:val="000000"/>
        </w:rPr>
        <w:t>図の説明</w:t>
      </w:r>
    </w:p>
    <w:p>
      <w:r>
        <w:rPr>
          <w:rFonts w:ascii="Times New Roman" w:hAnsi="Times New Roman"/>
          <w:b w:val="0"/>
          <w:i/>
          <w:sz w:val="22"/>
        </w:rPr>
        <w:t>図1. PRISMA-ScRフローダイアグラム。［付属PowerPointファイルを参照］</w:t>
      </w:r>
    </w:p>
    <w:p>
      <w:r>
        <w:rPr>
          <w:rFonts w:ascii="Times New Roman" w:hAnsi="Times New Roman"/>
          <w:b w:val="0"/>
          <w:i/>
          <w:sz w:val="22"/>
        </w:rPr>
        <w:t>図2. エビデンスマップ：臨床領域別の冷凍麻酔モダリティ。［付属PowerPointファイルを参照］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