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Editor-in-Chief</w:t>
      </w:r>
    </w:p>
    <w:p>
      <w:r>
        <w:t>Journal of Geodesy</w:t>
      </w:r>
    </w:p>
    <w:p/>
    <w:p>
      <w:r>
        <w:t>Dear Editor-in-Chief,</w:t>
      </w:r>
    </w:p>
    <w:p>
      <w:r>
        <w:t>Please consider my Original Research Article, “Identifiability of spatial relations under geodetic datum and reference-frame loss,” for publication in Journal of Geodesy.</w:t>
      </w:r>
    </w:p>
    <w:p>
      <w:r>
        <w:t>The manuscript addresses a geodetic identifiability question that is distinct from, but complementary to, free-network adjustment and datum realization: which spatial relations remain invariant when datum, reference-frame, or epoch metadata is no longer recoverable? It expresses the answer through the residual invariance-group chain O(3) to O(2) to SO(2) to the identity.</w:t>
      </w:r>
    </w:p>
    <w:p>
      <w:r>
        <w:t>The analysis distinguishes a directed physical axis, a physically recoverable chiral witness, and a directed meridian; it also defines directional branch and degeneracy cases explicitly. Seeded incomplete-network rigidity analysis, ellipsoid sensitivity, and an official ITRF2020 SLR epoch demonstration provide quantitative tests without presenting a reflected network as a physical realization. The topic is directly relevant to datum defect, frame realization, time-dependent geodetic networks, and durable coordinate metadata.</w:t>
      </w:r>
    </w:p>
    <w:p>
      <w:r>
        <w:t>The work uses synthetic geometry and public geodetic products and involves no human participants or animals. The editable manuscript, figures, tables, supplement, persisted public inputs, checksums, code, tests, and result traceability accompany the submission.</w:t>
      </w:r>
    </w:p>
    <w:p>
      <w:r>
        <w:t>Sincerely,</w:t>
      </w:r>
    </w:p>
    <w:p>
      <w:r>
        <w:t>Tatsuki Onishi</w:t>
      </w:r>
    </w:p>
    <w:p>
      <w:r>
        <w:t>[Affiliation to be confirmed]</w:t>
      </w:r>
    </w:p>
    <w:p>
      <w:r>
        <w:t>bougtoir@gmail.com</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Spatial relations under datum loss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15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15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15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15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120" w:after="120"/>
      <w:jc w:val="center"/>
    </w:pPr>
    <w:rPr>
      <w:rFonts w:ascii="Cambria Math" w:hAnsi="Cambria Math"/>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