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Editable tables</w:t>
      </w:r>
    </w:p>
    <w:p>
      <w:pPr>
        <w:spacing w:before="280"/>
      </w:pPr>
      <w:r>
        <w:rPr>
          <w:b/>
        </w:rPr>
        <w:t xml:space="preserve">Table 1  </w:t>
      </w:r>
      <w:r>
        <w:t>Information hierarchy and residual ambiguity under a rigid model.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412"/>
            <w:vAlign w:val="center"/>
          </w:tcPr>
          <w:p>
            <w:r>
              <w:rPr>
                <w:b/>
                <w:sz w:val="16"/>
              </w:rPr>
              <w:t>Model</w:t>
            </w:r>
          </w:p>
        </w:tc>
        <w:tc>
          <w:tcPr>
            <w:tcW w:type="dxa" w:w="2412"/>
            <w:vAlign w:val="center"/>
          </w:tcPr>
          <w:p>
            <w:r>
              <w:rPr>
                <w:b/>
                <w:sz w:val="16"/>
              </w:rPr>
              <w:t>Stored Information</w:t>
            </w:r>
          </w:p>
        </w:tc>
        <w:tc>
          <w:tcPr>
            <w:tcW w:type="dxa" w:w="2412"/>
            <w:vAlign w:val="center"/>
          </w:tcPr>
          <w:p>
            <w:r>
              <w:rPr>
                <w:b/>
                <w:sz w:val="16"/>
              </w:rPr>
              <w:t>Identifiable Quantities</w:t>
            </w:r>
          </w:p>
        </w:tc>
        <w:tc>
          <w:tcPr>
            <w:tcW w:type="dxa" w:w="2412"/>
            <w:vAlign w:val="center"/>
          </w:tcPr>
          <w:p>
            <w:r>
              <w:rPr>
                <w:b/>
                <w:sz w:val="16"/>
              </w:rPr>
              <w:t>Remaining Ambiguity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M0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labeled entities only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entity identity only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unconstrained geometry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M1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+ selected chord distances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recorded edge lengths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graph-dependent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M2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+ locally rigid distance graph with known metric scale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local Euclidean shape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Euclidean isometry E(3); possibly discrete noncongruent embeddings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M3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+ complete labeled Euclidean chord-distance matrix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global Euclidean shape for a generic full-dimensional configuration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translation and O(3)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M4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+ fixed origin or centered coordinates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origin-referenced shape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O(3)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M5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+ independently interpreted directed axis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axial latitude ordering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residual invariance group O(2)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M6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+ physically recoverable chiral witness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signed relative longitude away from degeneracies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proper axial rotations SO(2)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M7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+ independently recoverable directed meridian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absolute angular origin about the axis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identity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Metadata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+ observation epoch, entity continuity, units, and model provenance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time-indexed physical interpretation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model and measurement uncertainty remain</w:t>
            </w:r>
          </w:p>
        </w:tc>
      </w:tr>
    </w:tbl>
    <w:p>
      <w:r>
        <w:br w:type="page"/>
      </w:r>
    </w:p>
    <w:p>
      <w:pPr>
        <w:spacing w:before="280"/>
      </w:pPr>
      <w:r>
        <w:rPr>
          <w:b/>
        </w:rPr>
        <w:t xml:space="preserve">Table 2  </w:t>
      </w:r>
      <w:r>
        <w:t>Reference-frame classes, physical anchors, and principal failure modes.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rPr>
          <w:tblHeader w:val="true"/>
        </w:trPr>
        <w:tc>
          <w:tcPr>
            <w:tcW w:type="dxa" w:w="1378"/>
            <w:vAlign w:val="center"/>
          </w:tcPr>
          <w:p>
            <w:r>
              <w:rPr>
                <w:b/>
                <w:sz w:val="16"/>
              </w:rPr>
              <w:t>Frame</w:t>
            </w:r>
          </w:p>
        </w:tc>
        <w:tc>
          <w:tcPr>
            <w:tcW w:type="dxa" w:w="1378"/>
            <w:vAlign w:val="center"/>
          </w:tcPr>
          <w:p>
            <w:r>
              <w:rPr>
                <w:b/>
                <w:sz w:val="16"/>
              </w:rPr>
              <w:t>Physical Anchor</w:t>
            </w:r>
          </w:p>
        </w:tc>
        <w:tc>
          <w:tcPr>
            <w:tcW w:type="dxa" w:w="1378"/>
            <w:vAlign w:val="center"/>
          </w:tcPr>
          <w:p>
            <w:r>
              <w:rPr>
                <w:b/>
                <w:sz w:val="16"/>
              </w:rPr>
              <w:t>Preserving Transformations</w:t>
            </w:r>
          </w:p>
        </w:tc>
        <w:tc>
          <w:tcPr>
            <w:tcW w:type="dxa" w:w="1378"/>
            <w:vAlign w:val="center"/>
          </w:tcPr>
          <w:p>
            <w:r>
              <w:rPr>
                <w:b/>
                <w:sz w:val="16"/>
              </w:rPr>
              <w:t>Temporal Durability</w:t>
            </w:r>
          </w:p>
        </w:tc>
        <w:tc>
          <w:tcPr>
            <w:tcW w:type="dxa" w:w="1378"/>
            <w:vAlign w:val="center"/>
          </w:tcPr>
          <w:p>
            <w:r>
              <w:rPr>
                <w:b/>
                <w:sz w:val="16"/>
              </w:rPr>
              <w:t>Principal Failure Mode</w:t>
            </w:r>
          </w:p>
        </w:tc>
        <w:tc>
          <w:tcPr>
            <w:tcW w:type="dxa" w:w="1378"/>
            <w:vAlign w:val="center"/>
          </w:tcPr>
          <w:p>
            <w:r>
              <w:rPr>
                <w:b/>
                <w:sz w:val="16"/>
              </w:rPr>
              <w:t>North South Support</w:t>
            </w:r>
          </w:p>
        </w:tc>
        <w:tc>
          <w:tcPr>
            <w:tcW w:type="dxa" w:w="1378"/>
            <w:vAlign w:val="center"/>
          </w:tcPr>
          <w:p>
            <w:r>
              <w:rPr>
                <w:b/>
                <w:sz w:val="16"/>
              </w:rPr>
              <w:t>East West Support</w:t>
            </w:r>
          </w:p>
        </w:tc>
      </w:tr>
      <w:tr>
        <w:tc>
          <w:tcPr>
            <w:tcW w:type="dxa" w:w="1378"/>
            <w:vAlign w:val="center"/>
          </w:tcPr>
          <w:p>
            <w:r>
              <w:rPr>
                <w:sz w:val="16"/>
              </w:rPr>
              <w:t>Terrestrial reference frame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realized station coordinates and velocities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time-dependent Euclidean/Helmert mapping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high for modern epochs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network/model discontinuity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378"/>
            <w:vAlign w:val="center"/>
          </w:tcPr>
          <w:p>
            <w:r>
              <w:rPr>
                <w:sz w:val="16"/>
              </w:rPr>
              <w:t>Celestial reference frame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extragalactic source directions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celestial rotations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source structure and realization change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with Earth orientation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with Earth orientation</w:t>
            </w:r>
          </w:p>
        </w:tc>
      </w:tr>
      <w:tr>
        <w:tc>
          <w:tcPr>
            <w:tcW w:type="dxa" w:w="1378"/>
            <w:vAlign w:val="center"/>
          </w:tcPr>
          <w:p>
            <w:r>
              <w:rPr>
                <w:sz w:val="16"/>
              </w:rPr>
              <w:t>Spin-axis frame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directed angular-momentum/rotation axis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rotation about axis and axial reflection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medium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polar motion and true polar wander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only with physical chirality</w:t>
            </w:r>
          </w:p>
        </w:tc>
      </w:tr>
      <w:tr>
        <w:tc>
          <w:tcPr>
            <w:tcW w:type="dxa" w:w="1378"/>
            <w:vAlign w:val="center"/>
          </w:tcPr>
          <w:p>
            <w:r>
              <w:rPr>
                <w:sz w:val="16"/>
              </w:rPr>
              <w:t>Plate-fixed frame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rigid plate model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plate Euler rotation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medium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deformation and plate reorganization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model-dependent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model-dependent</w:t>
            </w:r>
          </w:p>
        </w:tc>
      </w:tr>
      <w:tr>
        <w:tc>
          <w:tcPr>
            <w:tcW w:type="dxa" w:w="1378"/>
            <w:vAlign w:val="center"/>
          </w:tcPr>
          <w:p>
            <w:r>
              <w:rPr>
                <w:sz w:val="16"/>
              </w:rPr>
              <w:t>Paleomagnetic frame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remanent field direction under field assumptions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axial rotations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geological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remagnetization and GAD violations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paleolatitude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not from paleomagnetism alone</w:t>
            </w:r>
          </w:p>
        </w:tc>
      </w:tr>
      <w:tr>
        <w:tc>
          <w:tcPr>
            <w:tcW w:type="dxa" w:w="1378"/>
            <w:vAlign w:val="center"/>
          </w:tcPr>
          <w:p>
            <w:r>
              <w:rPr>
                <w:sz w:val="16"/>
              </w:rPr>
              <w:t>Hotspot/mantle frame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hotspot tracks or mantle structures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model-specific plate rotations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geological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mantle motion and sparse anchors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model-dependent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model-dependent</w:t>
            </w:r>
          </w:p>
        </w:tc>
      </w:tr>
      <w:tr>
        <w:tc>
          <w:tcPr>
            <w:tcW w:type="dxa" w:w="1378"/>
            <w:vAlign w:val="center"/>
          </w:tcPr>
          <w:p>
            <w:r>
              <w:rPr>
                <w:sz w:val="16"/>
              </w:rPr>
              <w:t>Relative tectonic network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distances/rotations among blocks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network gauge transformations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geological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topology loss and deformation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only with axial anchor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only with orientation anchor</w:t>
            </w:r>
          </w:p>
        </w:tc>
      </w:tr>
      <w:tr>
        <w:tc>
          <w:tcPr>
            <w:tcW w:type="dxa" w:w="1378"/>
            <w:vAlign w:val="center"/>
          </w:tcPr>
          <w:p>
            <w:r>
              <w:rPr>
                <w:sz w:val="16"/>
              </w:rPr>
              <w:t>Hybrid redundant frame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independent geometric, axial, and physical anchors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intersection of preserved symmetries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highest conditional robustness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correlated anchor failure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78"/>
            <w:vAlign w:val="center"/>
          </w:tcPr>
          <w:p>
            <w:r>
              <w:rPr>
                <w:sz w:val="16"/>
              </w:rPr>
              <w:t>yes</w:t>
            </w:r>
          </w:p>
        </w:tc>
      </w:tr>
    </w:tbl>
    <w:p>
      <w:r>
        <w:br w:type="page"/>
      </w:r>
    </w:p>
    <w:p>
      <w:pPr>
        <w:spacing w:before="280"/>
      </w:pPr>
      <w:r>
        <w:rPr>
          <w:b/>
        </w:rPr>
        <w:t xml:space="preserve">Table 3  </w:t>
      </w:r>
      <w:r>
        <w:t>Seeded local-rigidity transition summary for generic random frameworks.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412"/>
            <w:vAlign w:val="center"/>
          </w:tcPr>
          <w:p>
            <w:r>
              <w:rPr>
                <w:b/>
                <w:sz w:val="16"/>
              </w:rPr>
              <w:t>N Points</w:t>
            </w:r>
          </w:p>
        </w:tc>
        <w:tc>
          <w:tcPr>
            <w:tcW w:type="dxa" w:w="2412"/>
            <w:vAlign w:val="center"/>
          </w:tcPr>
          <w:p>
            <w:r>
              <w:rPr>
                <w:b/>
                <w:sz w:val="16"/>
              </w:rPr>
              <w:t>First Tested Edge Probability At Or Above 50Pct</w:t>
            </w:r>
          </w:p>
        </w:tc>
        <w:tc>
          <w:tcPr>
            <w:tcW w:type="dxa" w:w="2412"/>
            <w:vAlign w:val="center"/>
          </w:tcPr>
          <w:p>
            <w:r>
              <w:rPr>
                <w:b/>
                <w:sz w:val="16"/>
              </w:rPr>
              <w:t>First Tested Edge Probability At Or Above 95Pct</w:t>
            </w:r>
          </w:p>
        </w:tc>
        <w:tc>
          <w:tcPr>
            <w:tcW w:type="dxa" w:w="2412"/>
            <w:vAlign w:val="center"/>
          </w:tcPr>
          <w:p>
            <w:r>
              <w:rPr>
                <w:b/>
                <w:sz w:val="16"/>
              </w:rPr>
              <w:t>Complete Graph Local Rigidity Probability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0.8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1.0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1.0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0.7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0.9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1.0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0.6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0.7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1.0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0.7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1.0</w:t>
            </w:r>
          </w:p>
        </w:tc>
      </w:tr>
      <w:tr>
        <w:tc>
          <w:tcPr>
            <w:tcW w:type="dxa" w:w="2412"/>
            <w:vAlign w:val="center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0.4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0.6</w:t>
            </w:r>
          </w:p>
        </w:tc>
        <w:tc>
          <w:tcPr>
            <w:tcW w:type="dxa" w:w="2412"/>
            <w:vAlign w:val="center"/>
          </w:tcPr>
          <w:p>
            <w:r>
              <w:rPr>
                <w:sz w:val="16"/>
              </w:rPr>
              <w:t>1.0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Spatial relations under datum loss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15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15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415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415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quation">
    <w:name w:val="Equation"/>
    <w:pPr>
      <w:spacing w:before="120" w:after="120"/>
      <w:jc w:val="center"/>
    </w:pPr>
    <w:rPr>
      <w:rFonts w:ascii="Cambria Math" w:hAnsi="Cambria Math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