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Identifiability of spatial relations under geodetic datum and reference-frame loss</w:t>
      </w:r>
    </w:p>
    <w:p>
      <w:pPr>
        <w:jc w:val="center"/>
      </w:pPr>
      <w:r>
        <w:rPr>
          <w:b/>
        </w:rPr>
        <w:t>Tatsuki Onishi</w:t>
      </w:r>
    </w:p>
    <w:p>
      <w:pPr>
        <w:jc w:val="center"/>
      </w:pPr>
      <w:r>
        <w:t>[Affiliation to be confirmed]</w:t>
      </w:r>
    </w:p>
    <w:p>
      <w:pPr>
        <w:jc w:val="center"/>
      </w:pPr>
      <w:r>
        <w:t>Correspondence: bougtoir@gmail.com</w:t>
      </w:r>
    </w:p>
    <w:p>
      <w:pPr>
        <w:jc w:val="center"/>
      </w:pPr>
      <w:r>
        <w:t>Original Research Article — Journal of Geodesy</w:t>
      </w:r>
    </w:p>
    <w:p>
      <w:pPr>
        <w:pStyle w:val="Heading1"/>
      </w:pPr>
      <w:r>
        <w:t>Article information</w:t>
      </w:r>
    </w:p>
    <w:p>
      <w:r>
        <w:t>Short title: Spatial relations under datum loss</w:t>
      </w:r>
    </w:p>
    <w:p>
      <w:r>
        <w:t>Article type: Original Research Article</w:t>
      </w:r>
    </w:p>
    <w:p>
      <w:r>
        <w:t>Keywords: geodetic datum; reference frame; identifiability; distance geometry; rigidity; epoch</w:t>
      </w:r>
    </w:p>
    <w:p>
      <w:r>
        <w:t>ORCID: [to be confirmed]</w:t>
      </w:r>
    </w:p>
    <w:p>
      <w:r>
        <w:t>Manuscript word count (including declarations and references): 3,785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Spatial relations under datum loss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15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15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15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F415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quation">
    <w:name w:val="Equation"/>
    <w:pPr>
      <w:spacing w:before="120" w:after="120"/>
      <w:jc w:val="center"/>
    </w:pPr>
    <w:rPr>
      <w:rFonts w:ascii="Cambria Math" w:hAnsi="Cambria Math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