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information</w:t>
      </w:r>
    </w:p>
    <w:p>
      <w:r>
        <w:t>Identifiability of spatial relations under geodetic datum and reference-frame loss</w:t>
      </w:r>
    </w:p>
    <w:p>
      <w:pPr>
        <w:pStyle w:val="Heading1"/>
      </w:pPr>
      <w:r>
        <w:t>S1 Formal assumptions and degeneracies</w:t>
      </w:r>
    </w:p>
    <w:p>
      <w:r>
        <w:t>The distance result assumes a labeled Euclidean distance matrix of embedding dimension at most three. Sparse graphs may admit flexes or multiple discrete realizations. Repeated points, collinear or coplanar simplices, axis-pole locations, and projected antipodes are treated as degeneracies rather than forced directional classifications.</w:t>
      </w:r>
    </w:p>
    <w:p>
      <w:r>
        <w:t>Generic axial ordering requires an origin and a directed axis. An undirected axis leaves its labels exchangeable. Signed relative longitude requires a physically recoverable chiral witness; absolute angular origin requires an additional directed meridian. A stored orientation bit without recoverable physical meaning does not remove the reflection ambiguity.</w:t>
      </w:r>
    </w:p>
    <w:p>
      <w:pPr>
        <w:pStyle w:val="Heading1"/>
      </w:pPr>
      <w:r>
        <w:t>S2 Computational algorithms</w:t>
      </w:r>
    </w:p>
    <w:p>
      <w:r>
        <w:t>Classical multidimensional scaling uses the three largest positive eigenpairs of the double-centered squared-distance matrix. Procrustes alignment uses a singular-value decomposition and explicitly constrains the determinant when reflection is forbidden. Direction signs are evaluated from normalized axial projections and a two-argument arctangent on the principal branch. The rigidity analysis uses numerical rank of the three-dimensional rigidity matrix with an SVD tolerance scaled by matrix dimensions and machine precision.</w:t>
      </w:r>
    </w:p>
    <w:p>
      <w:pPr>
        <w:pStyle w:val="Heading1"/>
      </w:pPr>
      <w:r>
        <w:t>S3 Reproducibility configuration</w:t>
      </w:r>
    </w:p>
    <w:p>
      <w:r>
        <w:rPr>
          <w:rFonts w:ascii="Courier New" w:hAnsi="Courier New"/>
          <w:sz w:val="16"/>
        </w:rPr>
        <w:t>seed: 20260924</w:t>
        <w:br/>
        <w:t>synthetic:</w:t>
        <w:br/>
        <w:t xml:space="preserve">  n_points: 24</w:t>
        <w:br/>
        <w:t xml:space="preserve">  n_frame_trials: 250</w:t>
        <w:br/>
        <w:t xml:space="preserve">  monte_carlo_trials: 4000</w:t>
        <w:br/>
        <w:t xml:space="preserve">  ellipsoid:</w:t>
        <w:br/>
        <w:t xml:space="preserve">    name: WGS84</w:t>
        <w:br/>
        <w:t xml:space="preserve">    semi_major_axis_m: 6378137.0</w:t>
        <w:br/>
        <w:t xml:space="preserve">    inverse_flattening: 298.257223563</w:t>
        <w:br/>
        <w:t xml:space="preserve">  ellipsoid_sensitivity:</w:t>
        <w:br/>
        <w:t xml:space="preserve">    name: GRS80</w:t>
        <w:br/>
        <w:t xml:space="preserve">    semi_major_axis_m: 6378137.0</w:t>
        <w:br/>
        <w:t xml:space="preserve">    inverse_flattening: 298.257222101</w:t>
        <w:br/>
        <w:t xml:space="preserve">  anchor_corruption_probabilities: [0.0, 0.01, 0.05, 0.1, 0.2, 0.4]</w:t>
        <w:br/>
        <w:t xml:space="preserve">  angular_noise_degrees: [0.0, 0.01, 0.05, 0.1, 0.25, 0.5]</w:t>
        <w:br/>
        <w:t>rigidity:</w:t>
        <w:br/>
        <w:t xml:space="preserve">  n_points: [6, 8, 10, 12, 16]</w:t>
        <w:br/>
        <w:t xml:space="preserve">  edge_probabilities: [0.1, 0.2, 0.3, 0.4, 0.5, 0.6, 0.7, 0.8, 0.9, 1.0]</w:t>
        <w:br/>
        <w:t xml:space="preserve">  trials: 2000</w:t>
        <w:br/>
        <w:t xml:space="preserve">  seed_offset: 1000</w:t>
        <w:br/>
        <w:t>real_data:</w:t>
        <w:br/>
        <w:t xml:space="preserve">  source: data/raw/itrf2020/ITRF2020_SLR.SSC.txt</w:t>
        <w:br/>
        <w:t xml:space="preserve">  reference_epoch: 2015.0</w:t>
        <w:br/>
        <w:t xml:space="preserve">  comparison_epoch: 2025.0</w:t>
        <w:br/>
        <w:t xml:space="preserve">  max_coordinate_sigma_m: 0.02</w:t>
        <w:br/>
        <w:t xml:space="preserve">  n_sites: 16</w:t>
        <w:br/>
      </w:r>
    </w:p>
    <w:p>
      <w:pPr>
        <w:pStyle w:val="Heading1"/>
      </w:pPr>
      <w:r>
        <w:t>S4 ITRF2020 selected stations</w:t>
      </w:r>
    </w:p>
    <w:p>
      <w:pPr>
        <w:spacing w:before="280"/>
      </w:pPr>
      <w:r>
        <w:rPr>
          <w:b/>
        </w:rPr>
        <w:t xml:space="preserve">Table S1  </w:t>
      </w:r>
      <w:r>
        <w:t>Selected ITRF2020 SLR stations and epochs.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tblHeader w:val="true"/>
        </w:trPr>
        <w:tc>
          <w:tcPr>
            <w:tcW w:type="dxa" w:w="1378"/>
            <w:vAlign w:val="center"/>
          </w:tcPr>
          <w:p>
            <w:r>
              <w:rPr>
                <w:b/>
                <w:sz w:val="16"/>
              </w:rPr>
              <w:t>Domes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  <w:sz w:val="16"/>
              </w:rPr>
              <w:t>Site Name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  <w:sz w:val="16"/>
              </w:rPr>
              <w:t>Technique Id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  <w:sz w:val="16"/>
              </w:rPr>
              <w:t>Latitude Degrees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  <w:sz w:val="16"/>
              </w:rPr>
              <w:t>Longitude Degrees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  <w:sz w:val="16"/>
              </w:rPr>
              <w:t>Reference Epoch</w:t>
            </w:r>
          </w:p>
        </w:tc>
        <w:tc>
          <w:tcPr>
            <w:tcW w:type="dxa" w:w="1378"/>
            <w:vAlign w:val="center"/>
          </w:tcPr>
          <w:p>
            <w:r>
              <w:rPr>
                <w:b/>
                <w:sz w:val="16"/>
              </w:rPr>
              <w:t>Comparison Epoch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40445M004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MAUI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7119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20.579588011218565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-156.25692679418262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2025.0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40497M001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Monument Peak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7110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32.716542819713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-116.4226784499638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2025.0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40442M006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FORT DAVIS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7080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30.5117098111711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-104.01519959418388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2025.0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40451M105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Washington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7105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38.83248993117698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-76.8276968652703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2025.0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48081S001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Campus Universi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7407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-15.67269811883136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-47.86529338063169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2025.0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13402S007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SAN FERNANDO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7824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36.28149367442857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-6.20530671391078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2025.0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14001S007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Zimmerwald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7810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46.68520770658857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7.465224516900016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2025.0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30302M003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Hartebeesthoek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7501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-25.73887838935569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27.686177286269704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2025.0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25603S001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Baikonur Cosmod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1887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45.51259179864986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63.34241682566955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2025.0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12372S001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Altay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1879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51.15604735269942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82.17729836577405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2025.0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12338S004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Badary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1890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51.58283480322939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102.23536268348586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2025.0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50107M001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Yarragadee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7090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-28.883434983501672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115.346753302934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2025.0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50119S003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Mount Stromlo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7825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-35.13482884193121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149.0098822886652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2025.0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12734S008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Matera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7941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40.4585779422104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16.7046145471105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2025.0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13212S001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Herstmonceux Ca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7840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50.67885528360768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0.3361285649584317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2025.0</w:t>
            </w:r>
          </w:p>
        </w:tc>
      </w:tr>
      <w:tr>
        <w:tc>
          <w:tcPr>
            <w:tcW w:type="dxa" w:w="1378"/>
            <w:vAlign w:val="center"/>
          </w:tcPr>
          <w:p>
            <w:r>
              <w:rPr>
                <w:sz w:val="16"/>
              </w:rPr>
              <w:t>10002S002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Grasse (OCA)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7845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43.56246101585594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6.921576461282378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1378"/>
            <w:vAlign w:val="center"/>
          </w:tcPr>
          <w:p>
            <w:r>
              <w:rPr>
                <w:sz w:val="16"/>
              </w:rPr>
              <w:t>2025.0</w:t>
            </w:r>
          </w:p>
        </w:tc>
      </w:tr>
    </w:tbl>
    <w:p>
      <w:pPr>
        <w:pStyle w:val="Heading1"/>
      </w:pPr>
      <w:r>
        <w:t>S5 Incomplete-network and ellipsoid sensitivity</w:t>
      </w:r>
    </w:p>
    <w:p>
      <w:pPr>
        <w:spacing w:before="280"/>
      </w:pPr>
      <w:r>
        <w:rPr>
          <w:b/>
        </w:rPr>
        <w:t xml:space="preserve">Table S2  </w:t>
      </w:r>
      <w:r>
        <w:t>WGS84–GRS80 sensitivity for the seeded point set.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vAlign w:val="center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3216"/>
            <w:vAlign w:val="center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3216"/>
            <w:vAlign w:val="center"/>
          </w:tcPr>
          <w:p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6"/>
              </w:rPr>
              <w:t>ellipsoid_maximum_coordinate_difference_m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6"/>
              </w:rPr>
              <w:t>0.0001210656051966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6"/>
              </w:rPr>
              <w:t>ellipsoid_median_coordinate_difference_m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6"/>
              </w:rPr>
              <w:t>0.0001025915363387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6"/>
              </w:rPr>
              <w:t>ellipsoid_maximum_chord_distance_difference_m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6"/>
              </w:rPr>
              <w:t>0.0002250224351882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6"/>
              </w:rPr>
              <w:t>ellipsoid_median_chord_distance_difference_m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6"/>
              </w:rPr>
              <w:t>4.020938649773598e-05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6"/>
              </w:rPr>
              <w:t>ellipsoid_axial_ordering_agreement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3216"/>
            <w:vAlign w:val="center"/>
          </w:tcPr>
          <w:p>
            <w:r>
              <w:rPr>
                <w:sz w:val="16"/>
              </w:rPr>
              <w:t>ellipsoid_signed_longitude_agreement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3216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15000" cy="4026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_synthetic_bench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Supplementary Fig. S1  Synthetic theorem-validation benchmark. Proper rotations preserve both tested directional signs; axial reflection preserves axial ordering and reverses signed longitude.</w:t>
      </w:r>
    </w:p>
    <w:p>
      <w:r>
        <w:drawing>
          <wp:inline xmlns:a="http://schemas.openxmlformats.org/drawingml/2006/main" xmlns:pic="http://schemas.openxmlformats.org/drawingml/2006/picture">
            <wp:extent cx="5715000" cy="349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2_anchor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Supplementary Fig. S2  Seeded axis-noise and algebraic-orientation-corruption experiment. The curves are conditional simulation checks and are not estimates of physical anchor survival.</w:t>
      </w:r>
    </w:p>
    <w:p>
      <w:pPr>
        <w:pStyle w:val="Heading1"/>
      </w:pPr>
      <w:r>
        <w:t>S6 Numerical result registry</w:t>
      </w:r>
    </w:p>
    <w:p>
      <w:pPr>
        <w:spacing w:before="280"/>
      </w:pPr>
      <w:r>
        <w:rPr>
          <w:b/>
        </w:rPr>
        <w:t xml:space="preserve">Table S3  </w:t>
      </w:r>
      <w:r>
        <w:t>Machine-generated values used in the manuscript.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412"/>
            <w:vAlign w:val="center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2412"/>
            <w:vAlign w:val="center"/>
          </w:tcPr>
          <w:p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synthetic_number_of_points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24.0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synthetic_benchmark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proportion_or_m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synthetic_frame_trials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250.0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synthetic_benchmark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proportion_or_m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synthetic_monte_carlo_trials_per_condition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4000.0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synthetic_benchmark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proportion_or_m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distance_reconstruction_rmse_allow_reflection_m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2.970170222267324e-09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synthetic_benchmark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proportion_or_m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distance_reconstruction_rmse_proper_only_m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6136173.251345326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synthetic_benchmark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proportion_or_m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proper_rotation_north_south_accuracy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synthetic_benchmark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proportion_or_m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proper_rotation_east_west_accuracy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synthetic_benchmark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proportion_or_m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reflection_north_south_accuracy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synthetic_benchmark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proportion_or_m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reflection_east_west_accuracy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synthetic_benchmark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proportion_or_m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n_selected_sites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16.0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itrf2020_demonstration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count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maximum_coordinate_standard_uncertainty_m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itrf2020_demonstration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distance_reconstruction_rmse_m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3.613275939091764e-09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itrf2020_demonstration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axial_reflection_north_south_accuracy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itrf2020_demonstration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axial_reflection_east_west_accuracy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itrf2020_demonstration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maximum_pairwise_distance_change_m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0.6906252605840564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itrf2020_demonstration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median_pairwise_distance_change_m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0.0907241012901067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itrf2020_demonstration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reference_epoch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2015.0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itrf2020_demonstration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decimal_year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comparison_epoch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2025.0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itrf2020_demonstration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decimal_year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random_seed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20260924.0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configuration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integer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ellipsoid_maximum_coordinate_difference_m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0.0001210656051966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ellipsoid_sensitivity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ellipsoid_median_coordinate_difference_m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0.0001025915363387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ellipsoid_sensitivity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ellipsoid_maximum_chord_distance_difference_m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0.0002250224351882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ellipsoid_sensitivity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ellipsoid_median_chord_distance_difference_m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4.020938649773598e-05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ellipsoid_sensitivity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ellipsoid_axial_ordering_agreement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ellipsoid_sensitivity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ellipsoid_signed_longitude_agreement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ellipsoid_sensitivity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rigidity_largest_network_n_points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16.0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rigidity_phase_diagram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count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rigidity_trials_per_cell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2000.0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rigidity_phase_diagram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count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rigidity_95pct_threshold_edge_probability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rigidity_phase_diagram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probability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rigidity_probability_at_95pct_threshold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0.996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rigidity_phase_diagram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rigidity_95pct_threshold_95ci_lower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0.992126535703962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rigidity_phase_diagram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rigidity_95pct_threshold_95ci_upper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0.9979717533930348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rigidity_phase_diagram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rigidity_edge_probability_before_95pct_threshold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rigidity_phase_diagram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probability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rigidity_probability_before_95pct_threshold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0.9465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rigidity_phase_diagram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rigidity_probability_before_95pct_threshold_95ci_lower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0.935754264314357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rigidity_phase_diagram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rigidity_probability_before_95pct_threshold_95ci_upper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0.955533812463484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rigidity_phase_diagram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north_south_accuracy_at_0.1_chirality_corruption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uncertainty_benchmark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east_west_accuracy_at_0.1_chirality_corruption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0.895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uncertainty_benchmark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east_west_accuracy_at_0.1_chirality_corruption_95ci_lower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0.8851180041126476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uncertainty_benchmark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east_west_accuracy_at_0.1_chirality_corruption_95ci_upper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0.9041240356884884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uncertainty_benchmark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north_south_accuracy_at_0.4_chirality_corruption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uncertainty_benchmark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east_west_accuracy_at_0.4_chirality_corruption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0.60225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uncertainty_benchmark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east_west_accuracy_at_0.4_chirality_corruption_95ci_lower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0.5869914415518415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uncertainty_benchmark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sz w:val="16"/>
              </w:rPr>
              <w:t>east_west_accuracy_at_0.4_chirality_corruption_95ci_upper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0.6173123522954146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uncertainty_benchmark</w:t>
            </w:r>
          </w:p>
        </w:tc>
        <w:tc>
          <w:tcPr>
            <w:tcW w:type="dxa" w:w="2412"/>
            <w:vAlign w:val="center"/>
          </w:tcPr>
          <w:p>
            <w:r>
              <w:rPr>
                <w:sz w:val="16"/>
              </w:rPr>
              <w:t>proportion</w:t>
            </w:r>
          </w:p>
        </w:tc>
      </w:tr>
    </w:tbl>
    <w:p>
      <w:pPr>
        <w:pStyle w:val="Heading1"/>
      </w:pPr>
      <w:r>
        <w:t>S7 Test coverage</w:t>
      </w:r>
    </w:p>
    <w:p>
      <w:r>
        <w:t>The automated suite covers rigid-transform distance invariance, independent proper and reflection-permitting alignment, simplex chirality, local ENU basis orthonormality, proper-rotation direction invariance, axial-reflection direction asymmetry, branch wrapping, same-meridian ties, pole and exact/near-antipode degeneracies, rigidity rank, ITRF parsing and site count, configuration-dependent epoch labels, nondefault uncertainty grids, and seeded reproducibility.</w:t>
      </w:r>
    </w:p>
    <w:p>
      <w:pPr>
        <w:pStyle w:val="Heading1"/>
      </w:pPr>
      <w:r>
        <w:t>S8 Interpretation of main numerical values</w:t>
      </w:r>
    </w:p>
    <w:p>
      <w:r>
        <w:t>The proper-only mirror ambiguity is 6.136 million m for the seeded point set. This value characterizes the selected configuration and is not a universal Earth-scale constant.</w:t>
      </w:r>
    </w:p>
    <w:p>
      <w:r>
        <w:t>The local-rigidity frequencies are Monte Carlo summaries for independently sampled generic points and Bernoulli edge retention. They do not establish global rigidity, geodetic network optimality, or a universal density threshold.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Spatial relations under datum loss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1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1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15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15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120" w:after="120"/>
      <w:jc w:val="center"/>
    </w:pPr>
    <w:rPr>
      <w:rFonts w:ascii="Cambria Math" w:hAnsi="Cambria Math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