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</w:pPr>
      <w:r>
        <w:rPr>
          <w:b/>
        </w:rPr>
        <w:t>Table S1. Exploratory ABO-window Neanderthal-reference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1"/>
        <w:gridCol w:w="1541"/>
        <w:gridCol w:w="1541"/>
        <w:gridCol w:w="1541"/>
        <w:gridCol w:w="1541"/>
      </w:tblGrid>
      <w:tr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Region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Altai %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Vindija %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Chagyrskaya %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East Asia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57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54.4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1.8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43.9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Europe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275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7.3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46.5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46.2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Indigenous Americas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100.0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Admixed Americas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98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3.1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61.2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35.7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Central/South Asia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98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9.2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44.9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45.9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Middle East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44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11.4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52.3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36.4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Oceania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100.0</w:t>
            </w:r>
          </w:p>
        </w:tc>
      </w:tr>
    </w:tbl>
    <w:p>
      <w:pPr>
        <w:spacing w:line="240" w:lineRule="auto"/>
      </w:pPr>
      <w:r>
        <w:rPr>
          <w:sz w:val="18"/>
        </w:rPr>
        <w:t>Note. Counts are classifiable segments, not individuals. Percentages use the three-reference denominator shown by n. Equal maximum-similarity ties are excluded from these percentages but retained in Supplementary Data. The 2/2 Indigenous American value is not a regional frequency estimate; only one segment overlaps ABO, and these counts are not interpreted as a migration route.</w:t>
      </w:r>
    </w:p>
    <w:sectPr w:rsidR="00FC693F" w:rsidRPr="0006063C" w:rsidSect="00034616">
      <w:pgSz w:w="12240" w:h="15840"/>
      <w:pgMar w:top="2268" w:right="2268" w:bottom="2268" w:left="2268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