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Supporting Information</w:t>
      </w:r>
    </w:p>
    <w:p>
      <w:pPr>
        <w:jc w:val="center"/>
      </w:pPr>
      <w:r>
        <w:t>Population structure defines the null expectation for pairwise genomic similarity: archaic-segment sharing across 66 human populations</w:t>
      </w:r>
    </w:p>
    <w:p>
      <w:pPr>
        <w:spacing w:before="320"/>
      </w:pPr>
      <w:r>
        <w:rPr>
          <w:b/>
        </w:rPr>
        <w:t>Figure S1. Complete 66-population Neanderthal and Denisovan profile-similarity matrices.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695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full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5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S2. Sensitivity of the descriptive Neanderthal distance correlation to exclusion of designated recently admixed populations.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440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nsitivity_admix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4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S3. Descriptive geographic distance correlations at 250-kb, 500-kb, and 1-Mb window sizes. QAP results are tabulated in Supplementary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05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window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0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S4. Exploratory ABO-centered analysis preserving the historical grouped-bar and segment-map layout. Equal maximum-similarity ties are excluded from the displayed three-reference proportions and retained in Supplementary Data. The Pima segment overlaps ABO; the Maya segment is within the wider interval but does not overlap the gene. Counts are segments, not regional frequencies, and are not interpreted as a migration route.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323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o_subline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32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S5. O2 blood-group subtype-defining allele frequencies and ABO-window segment-carrier frequencies. The panels use different sources and are not an association analysis; proximity does not establish that the O2 allele is Neanderthal-derived.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5376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2_introg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7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S6. Descriptive ancient and modern ABO-window summaries generated by different pipelines; no formal temporal comparison is made.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temporal_dynam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20"/>
      </w:pPr>
      <w:r>
        <w:rPr>
          <w:b/>
        </w:rPr>
        <w:t>Figure S7. Bivariate global context computed in this study. Circle area encodes the mean per-bin Neanderthal-segment coverage and colour encodes the mean per-bin Denisovan-segment coverage for each population, both from data/population_profiles_500kb.npz; coordinates are approximate sampling locations from data/population_metadata.csv. These descriptive summaries were not used in the pairwise statistical models.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27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bivariate_world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/>
      </w:pPr>
      <w:r>
        <w:rPr>
          <w:b/>
        </w:rPr>
        <w:t>Table S1. Exploratory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1"/>
        <w:gridCol w:w="1541"/>
        <w:gridCol w:w="1541"/>
        <w:gridCol w:w="1541"/>
        <w:gridCol w:w="1541"/>
      </w:tblGrid>
      <w:tr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Region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541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57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54.4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43.9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7.3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46.5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46.2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3.1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61.2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35.7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98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9.2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45.9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11.4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52.3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36.4</w:t>
            </w:r>
          </w:p>
        </w:tc>
      </w:tr>
      <w:tr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541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classifiable segments, not individuals. Percentages use the three-reference denominator shown by n. Equal maximum-similarity ties are excluded from these percentages but retained in Supplementary Data. The 2/2 Indigenous American value is not a regional frequency estimate; only one segment overlaps ABO, and these counts are not interpreted as a migration route.</w:t>
      </w:r>
    </w:p>
    <w:p>
      <w:r>
        <w:br w:type="page"/>
      </w:r>
    </w:p>
    <w:p>
      <w:pPr>
        <w:pStyle w:val="Heading1"/>
      </w:pPr>
      <w:r>
        <w:t>Supplementary File Inventory</w:t>
      </w:r>
    </w:p>
    <w:p>
      <w:r>
        <w:t>The submission contains 5 main figures (Figures 1-5), 7 supplementary figures (Figures S1-S7), 1 main table (Table 1), 1 supplementary table (Table S1), and 10 machine-readable supplementary data files listed below.</w:t>
      </w:r>
    </w:p>
    <w:p>
      <w:r>
        <w:t>Supplementary Data 1: population_metadata.csv. Population, project of origin, sample size, representative latitude and longitude, continental assignment, recent-admixture flag, and inclusion status for each of the 66 analysed populations.</w:t>
      </w:r>
    </w:p>
    <w:p>
      <w:r>
        <w:t>Supplementary Data 2: pairwise_sharing_corrected.csv. All 2,145 population pairs with Neanderthal and Denisovan profile similarity, great-circle distance, covariate indicators, fitted values, residual z scores, permutation P values, and Benjamini-Hochberg q values.</w:t>
      </w:r>
    </w:p>
    <w:p>
      <w:r>
        <w:t>Supplementary Data 3: model_summary.csv. Quadratic assignment procedure coefficients for both ancestries, population-label permutation P values, descriptive R-squared values, and population-deletion intervals.</w:t>
      </w:r>
    </w:p>
    <w:p>
      <w:r>
        <w:t>Supplementary Data 4: sensitivity_analysis.csv. Similarity-metric and population-subset robustness summaries, including the non-admixed subset of 1,891 pairs from 62 populations.</w:t>
      </w:r>
    </w:p>
    <w:p>
      <w:r>
        <w:t>Supplementary Data 5: window_size_sensitivity.csv. Window-size robustness summary for the focal-locus scan, reporting the ABO statistic and its genome-wide percentile across alternative window widths.</w:t>
      </w:r>
    </w:p>
    <w:p>
      <w:r>
        <w:t>Supplementary Data 6: profile_quality_checks.csv. Per-population quality summaries of the archaic-segment profiles: segment counts, callable coverage, profile totals, and the checks used to exclude unusable populations.</w:t>
      </w:r>
    </w:p>
    <w:p>
      <w:r>
        <w:t>Supplementary Data 7: abo_focal_test.json. Prespecified ABO focal-window result: window coordinates, maximum standardised excess similarity, genome-wide percentile, empirical P value, and the number of usable windows for each ancestry.</w:t>
      </w:r>
    </w:p>
    <w:p>
      <w:r>
        <w:t>Supplementary Data 8: ancient_abo_summary.csv. Published archaic and ancient ABO blood-group state calls used only as narrative context in the Discussion; no analysis result depends on this file.</w:t>
      </w:r>
    </w:p>
    <w:p>
      <w:r>
        <w:t>Supplementary Data 9: ancient_abo_provenance.json. Source publications, accessions, and retrieval records for the ancient ABO context table.</w:t>
      </w:r>
    </w:p>
    <w:p>
      <w:r>
        <w:t>Supplementary Data 10: analysis_provenance.json. Input file names, SHA-256 checksums, software versions, random seeds, and counts of individuals, populations, and pairs for the committed analysis.</w:t>
      </w:r>
    </w:p>
    <w:p>
      <w:r>
        <w:t>Supporting documents: supporting_information_heredity.docx (this file, containing Figures S1-S7 and Table S1), Table_S1_abo_summary.docx (editable supplementary table), and tables_heredity/Table_S1.xlsx (spreadsheet version of Table S1).</w:t>
      </w:r>
    </w:p>
    <w:p>
      <w:r>
        <w:t>Supplementary figure files: figures/Figure_S1 to figures/Figure_S7, each supplied as a 300-dpi PNG and a 300-dpi TIFF.</w:t>
      </w:r>
    </w:p>
    <w:sectPr w:rsidR="00FC693F" w:rsidRPr="0006063C" w:rsidSect="00034616">
      <w:pgSz w:w="12240" w:h="15840"/>
      <w:pgMar w:top="2268" w:right="2268" w:bottom="2268" w:left="2268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