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D8837" w14:textId="2752C5B5" w:rsidR="0040516A" w:rsidRDefault="00000000" w:rsidP="0040516A">
      <w:pPr>
        <w:jc w:val="center"/>
        <w:rPr>
          <w:rFonts w:cs="Times New Roman"/>
          <w:b/>
          <w:color w:val="000000" w:themeColor="text1"/>
          <w:sz w:val="32"/>
        </w:rPr>
      </w:pPr>
      <w:r w:rsidRPr="00481999">
        <w:rPr>
          <w:rFonts w:cs="Times New Roman"/>
          <w:b/>
          <w:color w:val="000000" w:themeColor="text1"/>
          <w:sz w:val="32"/>
        </w:rPr>
        <w:t>Population structure defines the null expectation for pairwise genomic similarity: archaic-segment sharing across 66 human populations</w:t>
      </w:r>
    </w:p>
    <w:p w14:paraId="55A6C636" w14:textId="77777777" w:rsidR="0040516A" w:rsidRPr="00370B63" w:rsidRDefault="0040516A" w:rsidP="0040516A">
      <w:pPr>
        <w:jc w:val="center"/>
        <w:rPr>
          <w:rFonts w:cs="Times New Roman"/>
          <w:lang w:eastAsia="ja-JP"/>
        </w:rPr>
      </w:pPr>
      <w:r w:rsidRPr="00370B63">
        <w:rPr>
          <w:rFonts w:cs="Times New Roman"/>
        </w:rPr>
        <w:t>Running title: A structural null for pairwise similarity</w:t>
      </w:r>
    </w:p>
    <w:p w14:paraId="7A0EE167" w14:textId="77777777" w:rsidR="0040516A" w:rsidRDefault="0040516A" w:rsidP="0040516A">
      <w:pPr>
        <w:rPr>
          <w:rFonts w:cs="Times New Roman"/>
          <w:lang w:eastAsia="ja-JP"/>
        </w:rPr>
      </w:pPr>
    </w:p>
    <w:p w14:paraId="27EA19D1" w14:textId="77777777" w:rsidR="0040516A" w:rsidRDefault="0040516A" w:rsidP="0040516A">
      <w:pPr>
        <w:jc w:val="center"/>
        <w:rPr>
          <w:rFonts w:cs="Times New Roman"/>
        </w:rPr>
      </w:pPr>
      <w:r w:rsidRPr="00FE456B">
        <w:rPr>
          <w:rFonts w:cs="Times New Roman"/>
        </w:rPr>
        <w:t>Onishi Tatsuki</w:t>
      </w:r>
      <w:r>
        <w:rPr>
          <w:rFonts w:cs="Times New Roman"/>
        </w:rPr>
        <w:br/>
      </w:r>
      <w:r w:rsidRPr="00FE456B">
        <w:rPr>
          <w:rFonts w:cs="Times New Roman"/>
        </w:rPr>
        <w:t>Data Science and AI Innovation Research Promotion Center, Shiga University</w:t>
      </w:r>
      <w:r>
        <w:rPr>
          <w:rFonts w:cs="Times New Roman" w:hint="eastAsia"/>
        </w:rPr>
        <w:t xml:space="preserve">, </w:t>
      </w:r>
      <w:proofErr w:type="spellStart"/>
      <w:r>
        <w:rPr>
          <w:rFonts w:cs="Times New Roman" w:hint="eastAsia"/>
        </w:rPr>
        <w:t>Hikone</w:t>
      </w:r>
      <w:proofErr w:type="spellEnd"/>
      <w:r>
        <w:rPr>
          <w:rFonts w:cs="Times New Roman" w:hint="eastAsia"/>
        </w:rPr>
        <w:t>, Japan</w:t>
      </w:r>
      <w:r>
        <w:rPr>
          <w:rFonts w:cs="Times New Roman"/>
        </w:rPr>
        <w:br/>
      </w:r>
    </w:p>
    <w:p w14:paraId="3631D8D6" w14:textId="2F9BF343" w:rsidR="0040516A" w:rsidRDefault="0040516A" w:rsidP="0040516A">
      <w:pPr>
        <w:rPr>
          <w:rFonts w:eastAsiaTheme="majorEastAsia" w:cs="Times New Roman"/>
          <w:b/>
          <w:bCs/>
          <w:color w:val="000000" w:themeColor="text1"/>
          <w:sz w:val="28"/>
          <w:szCs w:val="28"/>
        </w:rPr>
      </w:pPr>
      <w:r>
        <w:rPr>
          <w:rFonts w:cs="Times New Roman" w:hint="eastAsia"/>
        </w:rPr>
        <w:t xml:space="preserve">Correspondence to: </w:t>
      </w:r>
      <w:r w:rsidRPr="00FE456B">
        <w:rPr>
          <w:rFonts w:cs="Times New Roman"/>
        </w:rPr>
        <w:t>Onishi Tatsuki</w:t>
      </w:r>
      <w:r>
        <w:rPr>
          <w:rFonts w:cs="Times New Roman" w:hint="eastAsia"/>
        </w:rPr>
        <w:t xml:space="preserve">; </w:t>
      </w:r>
      <w:r w:rsidRPr="00FE456B">
        <w:rPr>
          <w:rFonts w:cs="Times New Roman"/>
        </w:rPr>
        <w:t>Data Science and AI Innovation Research Promotion Center, Shiga University</w:t>
      </w:r>
      <w:r>
        <w:rPr>
          <w:rFonts w:cs="Times New Roman" w:hint="eastAsia"/>
        </w:rPr>
        <w:t xml:space="preserve">; </w:t>
      </w:r>
      <w:r w:rsidRPr="00FE456B">
        <w:rPr>
          <w:rFonts w:cs="Times New Roman"/>
        </w:rPr>
        <w:t xml:space="preserve">1-1-1, Bamba, </w:t>
      </w:r>
      <w:proofErr w:type="spellStart"/>
      <w:r w:rsidRPr="00FE456B">
        <w:rPr>
          <w:rFonts w:cs="Times New Roman"/>
        </w:rPr>
        <w:t>Hikone</w:t>
      </w:r>
      <w:proofErr w:type="spellEnd"/>
      <w:r w:rsidRPr="00FE456B">
        <w:rPr>
          <w:rFonts w:cs="Times New Roman"/>
        </w:rPr>
        <w:t>, Shiga, 522-8522, Japan</w:t>
      </w:r>
      <w:r>
        <w:rPr>
          <w:rFonts w:cs="Times New Roman" w:hint="eastAsia"/>
        </w:rPr>
        <w:t xml:space="preserve">; </w:t>
      </w:r>
      <w:r w:rsidRPr="00FE456B">
        <w:rPr>
          <w:rFonts w:cs="Times New Roman"/>
        </w:rPr>
        <w:t>Telephone: +81-749-27-1023</w:t>
      </w:r>
      <w:r>
        <w:rPr>
          <w:rFonts w:cs="Times New Roman" w:hint="eastAsia"/>
        </w:rPr>
        <w:t>; FAX: +81-</w:t>
      </w:r>
      <w:r w:rsidRPr="00721F83">
        <w:rPr>
          <w:rFonts w:cs="Times New Roman"/>
        </w:rPr>
        <w:t>749-27-1132</w:t>
      </w:r>
      <w:r>
        <w:rPr>
          <w:rFonts w:cs="Times New Roman" w:hint="eastAsia"/>
        </w:rPr>
        <w:t xml:space="preserve">; </w:t>
      </w:r>
      <w:r w:rsidRPr="00FE456B">
        <w:rPr>
          <w:rFonts w:cs="Times New Roman"/>
        </w:rPr>
        <w:t xml:space="preserve">E-mail: </w:t>
      </w:r>
      <w:hyperlink r:id="rId8" w:history="1">
        <w:r w:rsidRPr="00FE456B">
          <w:rPr>
            <w:rStyle w:val="aff0"/>
            <w:rFonts w:cs="Times New Roman"/>
          </w:rPr>
          <w:t>bougtoir@gmail.com</w:t>
        </w:r>
      </w:hyperlink>
      <w:r>
        <w:rPr>
          <w:rFonts w:hint="eastAsia"/>
        </w:rPr>
        <w:t xml:space="preserve">; </w:t>
      </w:r>
      <w:r>
        <w:rPr>
          <w:rFonts w:cs="Times New Roman" w:hint="eastAsia"/>
        </w:rPr>
        <w:t xml:space="preserve">ORCID: </w:t>
      </w:r>
      <w:r w:rsidRPr="00FE456B">
        <w:rPr>
          <w:rFonts w:cs="Times New Roman"/>
        </w:rPr>
        <w:t>0000-0001-7261-9062</w:t>
      </w:r>
      <w:r>
        <w:rPr>
          <w:rFonts w:cs="Times New Roman"/>
          <w:color w:val="000000" w:themeColor="text1"/>
        </w:rPr>
        <w:br w:type="page"/>
      </w:r>
    </w:p>
    <w:p w14:paraId="070D585F" w14:textId="1974F042" w:rsidR="001D3229" w:rsidRPr="00481999" w:rsidRDefault="00000000">
      <w:pPr>
        <w:pStyle w:val="1"/>
        <w:rPr>
          <w:rFonts w:ascii="Times New Roman" w:hAnsi="Times New Roman" w:cs="Times New Roman"/>
          <w:color w:val="000000" w:themeColor="text1"/>
        </w:rPr>
      </w:pPr>
      <w:r w:rsidRPr="00481999">
        <w:rPr>
          <w:rFonts w:ascii="Times New Roman" w:hAnsi="Times New Roman" w:cs="Times New Roman"/>
          <w:color w:val="000000" w:themeColor="text1"/>
        </w:rPr>
        <w:lastRenderedPageBreak/>
        <w:t>Abstract</w:t>
      </w:r>
    </w:p>
    <w:p w14:paraId="2603EB36" w14:textId="77777777" w:rsidR="001D3229" w:rsidRPr="00481999" w:rsidRDefault="00000000">
      <w:pPr>
        <w:spacing w:line="360" w:lineRule="auto"/>
        <w:rPr>
          <w:rFonts w:cs="Times New Roman"/>
          <w:color w:val="000000" w:themeColor="text1"/>
        </w:rPr>
      </w:pPr>
      <w:r w:rsidRPr="00481999">
        <w:rPr>
          <w:rFonts w:cs="Times New Roman"/>
          <w:color w:val="000000" w:themeColor="text1"/>
        </w:rPr>
        <w:t xml:space="preserve">Pairwise comparisons between populations are a standard currency of population genetics, but the same populations </w:t>
      </w:r>
      <w:proofErr w:type="gramStart"/>
      <w:r w:rsidRPr="00481999">
        <w:rPr>
          <w:rFonts w:cs="Times New Roman"/>
          <w:color w:val="000000" w:themeColor="text1"/>
        </w:rPr>
        <w:t>recur</w:t>
      </w:r>
      <w:proofErr w:type="gramEnd"/>
      <w:r w:rsidRPr="00481999">
        <w:rPr>
          <w:rFonts w:cs="Times New Roman"/>
          <w:color w:val="000000" w:themeColor="text1"/>
        </w:rPr>
        <w:t xml:space="preserve"> across many pairs, so pairwise measurements are not independent observations. A pair that looks unusually similar may simply sit where broad population structure places it, yet such pairs are often read as evidence of a specific historical or biological connection. We ask what similarity a pair should show given the relational structure of the whole population </w:t>
      </w:r>
      <w:proofErr w:type="gramStart"/>
      <w:r w:rsidRPr="00481999">
        <w:rPr>
          <w:rFonts w:cs="Times New Roman"/>
          <w:color w:val="000000" w:themeColor="text1"/>
        </w:rPr>
        <w:t>set, and</w:t>
      </w:r>
      <w:proofErr w:type="gramEnd"/>
      <w:r w:rsidRPr="00481999">
        <w:rPr>
          <w:rFonts w:cs="Times New Roman"/>
          <w:color w:val="000000" w:themeColor="text1"/>
        </w:rPr>
        <w:t xml:space="preserve"> use archaic-segment sharing as an empirical demonstration. High-confidence Neanderthal and Denisovan introgression calls from 3,134 individuals in 66 populations were </w:t>
      </w:r>
      <w:proofErr w:type="spellStart"/>
      <w:r w:rsidRPr="00481999">
        <w:rPr>
          <w:rFonts w:cs="Times New Roman"/>
          <w:color w:val="000000" w:themeColor="text1"/>
        </w:rPr>
        <w:t>summarised</w:t>
      </w:r>
      <w:proofErr w:type="spellEnd"/>
      <w:r w:rsidRPr="00481999">
        <w:rPr>
          <w:rFonts w:cs="Times New Roman"/>
          <w:color w:val="000000" w:themeColor="text1"/>
        </w:rPr>
        <w:t xml:space="preserve"> in 500-kilobase windows, and profile similarity was computed for all 2,145 population pairs. Population-wide structure, pair-level residuals, and multiplicity were assessed with population-label permutation (the quadratic assignment procedure, QAP) and false-discovery-rate (FDR) control. Profile similarity declined with geographic distance for Neanderthal (r=-0.497) and Denisovan (r=-0.462) profiles, with partial distance correlations of -0.369 and -0.326 and permutation P values of 0.0001 and 0.0002. No pair among the non-admixed populations reached both a positive residual above two standard deviations and an FDR-adjusted q below 0.10. A prespecified analysis of the ABO blood-group region, a focal locus frequently invoked in such arguments, did not exceed the genome-wide structural expectation either. Exceptional pairwise genomic similarity should be judged against a null that preserves population-wide relational structure before it is attributed to pair-specific biological or historical processes.</w:t>
      </w:r>
    </w:p>
    <w:p w14:paraId="1DC244D2" w14:textId="4123D5E7" w:rsidR="001D3229" w:rsidRPr="00481999" w:rsidRDefault="00000000">
      <w:pPr>
        <w:rPr>
          <w:rFonts w:cs="Times New Roman"/>
          <w:color w:val="000000" w:themeColor="text1"/>
        </w:rPr>
      </w:pPr>
      <w:r w:rsidRPr="00481999">
        <w:rPr>
          <w:rFonts w:cs="Times New Roman"/>
          <w:b/>
          <w:color w:val="000000" w:themeColor="text1"/>
        </w:rPr>
        <w:t xml:space="preserve">Keywords: </w:t>
      </w:r>
      <w:r w:rsidRPr="00481999">
        <w:rPr>
          <w:rFonts w:cs="Times New Roman"/>
          <w:color w:val="000000" w:themeColor="text1"/>
        </w:rPr>
        <w:t>population structure; dyadic data; permutation tests; gene flow; Neanderthals; Denisovans</w:t>
      </w:r>
      <w:r w:rsidRPr="00481999">
        <w:rPr>
          <w:rFonts w:cs="Times New Roman"/>
          <w:color w:val="000000" w:themeColor="text1"/>
        </w:rPr>
        <w:br w:type="page"/>
      </w:r>
    </w:p>
    <w:p w14:paraId="40D6E443" w14:textId="77777777" w:rsidR="001D3229" w:rsidRPr="00481999" w:rsidRDefault="00000000">
      <w:pPr>
        <w:pStyle w:val="1"/>
        <w:rPr>
          <w:rFonts w:ascii="Times New Roman" w:hAnsi="Times New Roman" w:cs="Times New Roman"/>
          <w:color w:val="000000" w:themeColor="text1"/>
        </w:rPr>
      </w:pPr>
      <w:r w:rsidRPr="00481999">
        <w:rPr>
          <w:rFonts w:ascii="Times New Roman" w:hAnsi="Times New Roman" w:cs="Times New Roman"/>
          <w:color w:val="000000" w:themeColor="text1"/>
        </w:rPr>
        <w:lastRenderedPageBreak/>
        <w:t>Introduction</w:t>
      </w:r>
    </w:p>
    <w:p w14:paraId="0EFFAC1E" w14:textId="77777777" w:rsidR="001D3229" w:rsidRPr="00481999" w:rsidRDefault="00000000">
      <w:pPr>
        <w:ind w:firstLine="432"/>
        <w:rPr>
          <w:rFonts w:cs="Times New Roman"/>
          <w:color w:val="000000" w:themeColor="text1"/>
        </w:rPr>
      </w:pPr>
      <w:r w:rsidRPr="00481999">
        <w:rPr>
          <w:rFonts w:cs="Times New Roman"/>
          <w:color w:val="000000" w:themeColor="text1"/>
        </w:rPr>
        <w:t xml:space="preserve">Much of what we infer about population history is read off comparisons between pairs of populations. Genetic distance, allele-frequency similarity, haplotype sharing, and shared </w:t>
      </w:r>
      <w:proofErr w:type="spellStart"/>
      <w:r w:rsidRPr="00481999">
        <w:rPr>
          <w:rFonts w:cs="Times New Roman"/>
          <w:color w:val="000000" w:themeColor="text1"/>
        </w:rPr>
        <w:t>introgressed</w:t>
      </w:r>
      <w:proofErr w:type="spellEnd"/>
      <w:r w:rsidRPr="00481999">
        <w:rPr>
          <w:rFonts w:cs="Times New Roman"/>
          <w:color w:val="000000" w:themeColor="text1"/>
        </w:rPr>
        <w:t xml:space="preserve"> ancestry are all computed pair by pair, and the resulting matrix is then scanned for pairs that stand out. A pair that is more similar than its </w:t>
      </w:r>
      <w:proofErr w:type="spellStart"/>
      <w:r w:rsidRPr="00481999">
        <w:rPr>
          <w:rFonts w:cs="Times New Roman"/>
          <w:color w:val="000000" w:themeColor="text1"/>
        </w:rPr>
        <w:t>neighbours</w:t>
      </w:r>
      <w:proofErr w:type="spellEnd"/>
      <w:r w:rsidRPr="00481999">
        <w:rPr>
          <w:rFonts w:cs="Times New Roman"/>
          <w:color w:val="000000" w:themeColor="text1"/>
        </w:rPr>
        <w:t xml:space="preserve"> is a natural candidate for a specific explanation: recent migration between the two, a corridor of gene flow, a shared introgression event, or a common source population. This reasoning is applied across the whole discipline, from isolation-by-distance analyses of natural populations (Wright 1943; Rousset 1997) to comparisons of archaic ancestry among human groups (Sankararaman et al. 2014; Sankararaman et al. 2016).</w:t>
      </w:r>
    </w:p>
    <w:p w14:paraId="017AC335" w14:textId="77777777" w:rsidR="001D3229" w:rsidRPr="00481999" w:rsidRDefault="00000000">
      <w:pPr>
        <w:ind w:firstLine="432"/>
        <w:rPr>
          <w:rFonts w:cs="Times New Roman"/>
          <w:color w:val="000000" w:themeColor="text1"/>
        </w:rPr>
      </w:pPr>
      <w:r w:rsidRPr="00481999">
        <w:rPr>
          <w:rFonts w:cs="Times New Roman"/>
          <w:color w:val="000000" w:themeColor="text1"/>
        </w:rPr>
        <w:t xml:space="preserve">The difficulty is that pairs built from a common set of units are not independent of one another. If populations A, B, and C are compared, the A-B and A-C measurements both contain A, so anything that makes A distinctive, such as its sample size, its demographic history, its position in a geographic gradient, or its share of recent admixture, moves both measurements together. In the data </w:t>
      </w:r>
      <w:proofErr w:type="spellStart"/>
      <w:r w:rsidRPr="00481999">
        <w:rPr>
          <w:rFonts w:cs="Times New Roman"/>
          <w:color w:val="000000" w:themeColor="text1"/>
        </w:rPr>
        <w:t>analysed</w:t>
      </w:r>
      <w:proofErr w:type="spellEnd"/>
      <w:r w:rsidRPr="00481999">
        <w:rPr>
          <w:rFonts w:cs="Times New Roman"/>
          <w:color w:val="000000" w:themeColor="text1"/>
        </w:rPr>
        <w:t xml:space="preserve"> here, 66 populations generate 2,145 pairs, but those 2,145 numbers are far from 2,145 independent observations. Population-wide forces, including geographic structure, serial founder effects, shared ancestry, and dataset provenance, act on whole rows and columns of the matrix at once. </w:t>
      </w:r>
      <w:r w:rsidRPr="00481999">
        <w:rPr>
          <w:rFonts w:cs="Times New Roman"/>
          <w:color w:val="000000" w:themeColor="text1"/>
        </w:rPr>
        <w:lastRenderedPageBreak/>
        <w:t>Procedures that shuffle rows, resample pairs, or bootstrap observations break this structure and can make an ordinary pair look exceptional.</w:t>
      </w:r>
    </w:p>
    <w:p w14:paraId="5D9F8698" w14:textId="77777777" w:rsidR="001D3229" w:rsidRPr="00481999" w:rsidRDefault="00000000">
      <w:pPr>
        <w:ind w:firstLine="432"/>
        <w:rPr>
          <w:rFonts w:cs="Times New Roman"/>
          <w:color w:val="000000" w:themeColor="text1"/>
        </w:rPr>
      </w:pPr>
      <w:r w:rsidRPr="00481999">
        <w:rPr>
          <w:rFonts w:cs="Times New Roman"/>
          <w:color w:val="000000" w:themeColor="text1"/>
        </w:rPr>
        <w:t xml:space="preserve">A more useful question is therefore not whether a pair is similar, but what similarity that pair should show given the relational structure of the full set of populations. We refer to the answer as the structural null, or the population-wide structural expectation. It can be approximated directly: hold the matrix of measurements intact and reassign the population labels, applying the same reassignment to rows and columns, so that each simulated dataset keeps the real pattern of repeated units while destroying the specific correspondence between a pair and its identity. Statistics recomputed across many such </w:t>
      </w:r>
      <w:proofErr w:type="spellStart"/>
      <w:r w:rsidRPr="00481999">
        <w:rPr>
          <w:rFonts w:cs="Times New Roman"/>
          <w:color w:val="000000" w:themeColor="text1"/>
        </w:rPr>
        <w:t>relabellings</w:t>
      </w:r>
      <w:proofErr w:type="spellEnd"/>
      <w:r w:rsidRPr="00481999">
        <w:rPr>
          <w:rFonts w:cs="Times New Roman"/>
          <w:color w:val="000000" w:themeColor="text1"/>
        </w:rPr>
        <w:t xml:space="preserve"> describe what the data would look like if nothing were special about any </w:t>
      </w:r>
      <w:proofErr w:type="gramStart"/>
      <w:r w:rsidRPr="00481999">
        <w:rPr>
          <w:rFonts w:cs="Times New Roman"/>
          <w:color w:val="000000" w:themeColor="text1"/>
        </w:rPr>
        <w:t>particular pair</w:t>
      </w:r>
      <w:proofErr w:type="gramEnd"/>
      <w:r w:rsidRPr="00481999">
        <w:rPr>
          <w:rFonts w:cs="Times New Roman"/>
          <w:color w:val="000000" w:themeColor="text1"/>
        </w:rPr>
        <w:t xml:space="preserve">. This is the logic of matrix permutation introduced by the Mantel test (Mantel 1967) and extended to regression with several predictors by the quadratic assignment procedure (QAP; </w:t>
      </w:r>
      <w:proofErr w:type="spellStart"/>
      <w:r w:rsidRPr="00481999">
        <w:rPr>
          <w:rFonts w:cs="Times New Roman"/>
          <w:color w:val="000000" w:themeColor="text1"/>
        </w:rPr>
        <w:t>Krackhardt</w:t>
      </w:r>
      <w:proofErr w:type="spellEnd"/>
      <w:r w:rsidRPr="00481999">
        <w:rPr>
          <w:rFonts w:cs="Times New Roman"/>
          <w:color w:val="000000" w:themeColor="text1"/>
        </w:rPr>
        <w:t xml:space="preserve"> 1988; Dekker, Krackhardt, and Snijders 2007). The </w:t>
      </w:r>
      <w:proofErr w:type="spellStart"/>
      <w:r w:rsidRPr="00481999">
        <w:rPr>
          <w:rFonts w:cs="Times New Roman"/>
          <w:color w:val="000000" w:themeColor="text1"/>
        </w:rPr>
        <w:t>behaviour</w:t>
      </w:r>
      <w:proofErr w:type="spellEnd"/>
      <w:r w:rsidRPr="00481999">
        <w:rPr>
          <w:rFonts w:cs="Times New Roman"/>
          <w:color w:val="000000" w:themeColor="text1"/>
        </w:rPr>
        <w:t xml:space="preserve"> and limitations of these tests in spatial genetic settings are well described (Legendre and Fortin 2010; Guillot and Rousset 2013). We do not propose a new permutation method; we formulate and </w:t>
      </w:r>
      <w:proofErr w:type="spellStart"/>
      <w:r w:rsidRPr="00481999">
        <w:rPr>
          <w:rFonts w:cs="Times New Roman"/>
          <w:color w:val="000000" w:themeColor="text1"/>
        </w:rPr>
        <w:t>operationalise</w:t>
      </w:r>
      <w:proofErr w:type="spellEnd"/>
      <w:r w:rsidRPr="00481999">
        <w:rPr>
          <w:rFonts w:cs="Times New Roman"/>
          <w:color w:val="000000" w:themeColor="text1"/>
        </w:rPr>
        <w:t xml:space="preserve"> a structure-aware workflow that turns these tools into an explicit test of exceptional pairwise genomic similarity, with pair-level residuals and multiplicity control.</w:t>
      </w:r>
    </w:p>
    <w:p w14:paraId="4BFB53DB" w14:textId="77777777" w:rsidR="001D3229" w:rsidRPr="00481999" w:rsidRDefault="00000000">
      <w:pPr>
        <w:ind w:firstLine="432"/>
        <w:rPr>
          <w:rFonts w:cs="Times New Roman"/>
          <w:color w:val="000000" w:themeColor="text1"/>
        </w:rPr>
      </w:pPr>
      <w:r w:rsidRPr="00481999">
        <w:rPr>
          <w:rFonts w:cs="Times New Roman"/>
          <w:color w:val="000000" w:themeColor="text1"/>
        </w:rPr>
        <w:lastRenderedPageBreak/>
        <w:t xml:space="preserve">The cost of ignoring structure is already documented on the model-based side of this literature. Inference of ancestral population size and of admixture from genomic data is sensitive to unmodelled population structure, so that structured histories without admixture can produce apparent size changes and apparent admixture events (Mazet et al. 2016; </w:t>
      </w:r>
      <w:proofErr w:type="spellStart"/>
      <w:r w:rsidRPr="00481999">
        <w:rPr>
          <w:rFonts w:cs="Times New Roman"/>
          <w:color w:val="000000" w:themeColor="text1"/>
        </w:rPr>
        <w:t>Tournebize</w:t>
      </w:r>
      <w:proofErr w:type="spellEnd"/>
      <w:r w:rsidRPr="00481999">
        <w:rPr>
          <w:rFonts w:cs="Times New Roman"/>
          <w:color w:val="000000" w:themeColor="text1"/>
        </w:rPr>
        <w:t xml:space="preserve"> and Chikhi 2025), and the </w:t>
      </w:r>
      <w:proofErr w:type="spellStart"/>
      <w:r w:rsidRPr="00481999">
        <w:rPr>
          <w:rFonts w:cs="Times New Roman"/>
          <w:color w:val="000000" w:themeColor="text1"/>
        </w:rPr>
        <w:t>behaviour</w:t>
      </w:r>
      <w:proofErr w:type="spellEnd"/>
      <w:r w:rsidRPr="00481999">
        <w:rPr>
          <w:rFonts w:cs="Times New Roman"/>
          <w:color w:val="000000" w:themeColor="text1"/>
        </w:rPr>
        <w:t xml:space="preserve"> of divergence statistics computed between archaic and present-day samples depends on the demographic context in which they are read (Ortega-Del </w:t>
      </w:r>
      <w:proofErr w:type="spellStart"/>
      <w:r w:rsidRPr="00481999">
        <w:rPr>
          <w:rFonts w:cs="Times New Roman"/>
          <w:color w:val="000000" w:themeColor="text1"/>
        </w:rPr>
        <w:t>Vecchyo</w:t>
      </w:r>
      <w:proofErr w:type="spellEnd"/>
      <w:r w:rsidRPr="00481999">
        <w:rPr>
          <w:rFonts w:cs="Times New Roman"/>
          <w:color w:val="000000" w:themeColor="text1"/>
        </w:rPr>
        <w:t xml:space="preserve"> and Slatkin 2019). The problem addressed here is related but distinct. It arises in descriptive pairwise comparisons rather than in fitted demographic models, and its source is not only model misspecification but non-independence: the same populations reappear throughout the pairwise matrix, so a single population-wide property is expressed in many entries at once.</w:t>
      </w:r>
    </w:p>
    <w:p w14:paraId="03CCC750" w14:textId="77777777" w:rsidR="001D3229" w:rsidRPr="00481999" w:rsidRDefault="00000000">
      <w:pPr>
        <w:ind w:firstLine="432"/>
        <w:rPr>
          <w:rFonts w:cs="Times New Roman"/>
          <w:color w:val="000000" w:themeColor="text1"/>
        </w:rPr>
      </w:pPr>
      <w:r w:rsidRPr="00481999">
        <w:rPr>
          <w:rFonts w:cs="Times New Roman"/>
          <w:color w:val="000000" w:themeColor="text1"/>
        </w:rPr>
        <w:t xml:space="preserve">Archaic ancestry in present-day humans is a convenient system in which to demonstrate the problem. Gene flow from Neanderthals and Denisovans left segments of archaic sequence in the ancestors of present-day populations outside Africa (Green et al. 2010; Reich et al. 2010), and the amount and genomic placement of that sequence differ strongly among populations because of demographic history, drift, selection, and more than one introgression history (Sankararaman et al. 2014; Sankararaman et al. 2016; Jacobs et al. 2019). Two </w:t>
      </w:r>
      <w:r w:rsidRPr="00481999">
        <w:rPr>
          <w:rFonts w:cs="Times New Roman"/>
          <w:color w:val="000000" w:themeColor="text1"/>
        </w:rPr>
        <w:lastRenderedPageBreak/>
        <w:t xml:space="preserve">properties make the system informative here: archaic ancestry is strongly geographically differentiated, so population-wide structure is large and easy to detect, and its demographic history is complex enough that pair-specific stories are readily available whenever a pair looks unusual. Focal </w:t>
      </w:r>
      <w:proofErr w:type="gramStart"/>
      <w:r w:rsidRPr="00481999">
        <w:rPr>
          <w:rFonts w:cs="Times New Roman"/>
          <w:color w:val="000000" w:themeColor="text1"/>
        </w:rPr>
        <w:t>loci sharpen</w:t>
      </w:r>
      <w:proofErr w:type="gramEnd"/>
      <w:r w:rsidRPr="00481999">
        <w:rPr>
          <w:rFonts w:cs="Times New Roman"/>
          <w:color w:val="000000" w:themeColor="text1"/>
        </w:rPr>
        <w:t xml:space="preserve"> the temptation further. The ABO blood-group gene is the clearest example: its polymorphism is ancient and medically visible, long shared haplotypes around it have been read as archaic contribution (Calafell et al. 2008), inferred archaic blood-group states have encouraged narratives of ABO-marked migration (</w:t>
      </w:r>
      <w:proofErr w:type="spellStart"/>
      <w:r w:rsidRPr="00481999">
        <w:rPr>
          <w:rFonts w:cs="Times New Roman"/>
          <w:color w:val="000000" w:themeColor="text1"/>
        </w:rPr>
        <w:t>Condemi</w:t>
      </w:r>
      <w:proofErr w:type="spellEnd"/>
      <w:r w:rsidRPr="00481999">
        <w:rPr>
          <w:rFonts w:cs="Times New Roman"/>
          <w:color w:val="000000" w:themeColor="text1"/>
        </w:rPr>
        <w:t xml:space="preserve"> et al. 2021), and other work has argued that founder effects (Halverson and Bolnick 2008) or trans-species balancing selection (</w:t>
      </w:r>
      <w:proofErr w:type="spellStart"/>
      <w:r w:rsidRPr="00481999">
        <w:rPr>
          <w:rFonts w:cs="Times New Roman"/>
          <w:color w:val="000000" w:themeColor="text1"/>
        </w:rPr>
        <w:t>Segurel</w:t>
      </w:r>
      <w:proofErr w:type="spellEnd"/>
      <w:r w:rsidRPr="00481999">
        <w:rPr>
          <w:rFonts w:cs="Times New Roman"/>
          <w:color w:val="000000" w:themeColor="text1"/>
        </w:rPr>
        <w:t xml:space="preserve"> et al. 2012) explain the same observations. We treat ABO as one worked example of a focal locus, not as the subject of the paper.</w:t>
      </w:r>
    </w:p>
    <w:p w14:paraId="6206F7DD" w14:textId="77777777" w:rsidR="001D3229" w:rsidRPr="00481999" w:rsidRDefault="00000000">
      <w:pPr>
        <w:ind w:firstLine="432"/>
        <w:rPr>
          <w:rFonts w:cs="Times New Roman"/>
          <w:color w:val="000000" w:themeColor="text1"/>
        </w:rPr>
      </w:pPr>
      <w:r w:rsidRPr="00481999">
        <w:rPr>
          <w:rFonts w:cs="Times New Roman"/>
          <w:color w:val="000000" w:themeColor="text1"/>
        </w:rPr>
        <w:t xml:space="preserve">We therefore ask three questions. First, how much of the variation in pairwise archaic-segment similarity is accounted for by broad, population-wide structure such as geographic separation? Second, does any individual pair show an excess of similarity that survives a dependence-preserving permutation null and correction for multiple testing? Third, does the prespecified ABO region exceed the same genome-wide structural expectation? Each answer is examined for robustness across window sizes, similarity measures, sample-size thresholds, source datasets, exclusion of recently admixed populations, and omission of </w:t>
      </w:r>
      <w:r w:rsidRPr="00481999">
        <w:rPr>
          <w:rFonts w:cs="Times New Roman"/>
          <w:color w:val="000000" w:themeColor="text1"/>
        </w:rPr>
        <w:lastRenderedPageBreak/>
        <w:t xml:space="preserve">whole regions. The empirical system is human, but the inferential problem is not: wherever repeated units are compared pair by pair, whether they are populations, demes, strains, breeds, or sampling locations, the same non-independence </w:t>
      </w:r>
      <w:proofErr w:type="gramStart"/>
      <w:r w:rsidRPr="00481999">
        <w:rPr>
          <w:rFonts w:cs="Times New Roman"/>
          <w:color w:val="000000" w:themeColor="text1"/>
        </w:rPr>
        <w:t>applies</w:t>
      </w:r>
      <w:proofErr w:type="gramEnd"/>
      <w:r w:rsidRPr="00481999">
        <w:rPr>
          <w:rFonts w:cs="Times New Roman"/>
          <w:color w:val="000000" w:themeColor="text1"/>
        </w:rPr>
        <w:t xml:space="preserve"> and the same structural null is needed before a pair is called exceptional.</w:t>
      </w:r>
    </w:p>
    <w:p w14:paraId="405FD524" w14:textId="77777777" w:rsidR="001D3229" w:rsidRPr="00481999" w:rsidRDefault="00000000">
      <w:pPr>
        <w:pStyle w:val="1"/>
        <w:rPr>
          <w:rFonts w:ascii="Times New Roman" w:hAnsi="Times New Roman" w:cs="Times New Roman"/>
          <w:color w:val="000000" w:themeColor="text1"/>
        </w:rPr>
      </w:pPr>
      <w:r w:rsidRPr="00481999">
        <w:rPr>
          <w:rFonts w:ascii="Times New Roman" w:hAnsi="Times New Roman" w:cs="Times New Roman"/>
          <w:color w:val="000000" w:themeColor="text1"/>
        </w:rPr>
        <w:t>Materials and Methods</w:t>
      </w:r>
    </w:p>
    <w:p w14:paraId="3780A995" w14:textId="77777777" w:rsidR="001D3229" w:rsidRPr="00481999" w:rsidRDefault="00000000">
      <w:pPr>
        <w:pStyle w:val="21"/>
        <w:rPr>
          <w:rFonts w:ascii="Times New Roman" w:hAnsi="Times New Roman" w:cs="Times New Roman"/>
          <w:color w:val="000000" w:themeColor="text1"/>
        </w:rPr>
      </w:pPr>
      <w:r w:rsidRPr="00481999">
        <w:rPr>
          <w:rFonts w:ascii="Times New Roman" w:hAnsi="Times New Roman" w:cs="Times New Roman"/>
          <w:color w:val="000000" w:themeColor="text1"/>
        </w:rPr>
        <w:t>Analytical logic</w:t>
      </w:r>
    </w:p>
    <w:p w14:paraId="5DF69B5C" w14:textId="77777777" w:rsidR="001D3229" w:rsidRDefault="00000000">
      <w:pPr>
        <w:ind w:firstLine="432"/>
        <w:rPr>
          <w:rFonts w:cs="Times New Roman"/>
          <w:color w:val="000000" w:themeColor="text1"/>
        </w:rPr>
      </w:pPr>
      <w:r w:rsidRPr="00481999">
        <w:rPr>
          <w:rFonts w:cs="Times New Roman"/>
          <w:color w:val="000000" w:themeColor="text1"/>
        </w:rPr>
        <w:t xml:space="preserve">Before the technical detail, it is worth stating the shape of the analysis in plain terms (Figure 1). We first describe each population on its own, building a genomic profile without reference to any pair of </w:t>
      </w:r>
      <w:proofErr w:type="gramStart"/>
      <w:r w:rsidRPr="00481999">
        <w:rPr>
          <w:rFonts w:cs="Times New Roman"/>
          <w:color w:val="000000" w:themeColor="text1"/>
        </w:rPr>
        <w:t>interest</w:t>
      </w:r>
      <w:proofErr w:type="gramEnd"/>
      <w:r w:rsidRPr="00481999">
        <w:rPr>
          <w:rFonts w:cs="Times New Roman"/>
          <w:color w:val="000000" w:themeColor="text1"/>
        </w:rPr>
        <w:t xml:space="preserve">, so that no focal comparison influences how the units are represented. We then compute the complete matrix of pairwise similarities rather than a selected subset, because the full matrix is what defines the expectation for any one pair. </w:t>
      </w:r>
      <w:proofErr w:type="gramStart"/>
      <w:r w:rsidRPr="00481999">
        <w:rPr>
          <w:rFonts w:cs="Times New Roman"/>
          <w:color w:val="000000" w:themeColor="text1"/>
        </w:rPr>
        <w:t>Next</w:t>
      </w:r>
      <w:proofErr w:type="gramEnd"/>
      <w:r w:rsidRPr="00481999">
        <w:rPr>
          <w:rFonts w:cs="Times New Roman"/>
          <w:color w:val="000000" w:themeColor="text1"/>
        </w:rPr>
        <w:t xml:space="preserve"> we </w:t>
      </w:r>
      <w:proofErr w:type="spellStart"/>
      <w:r w:rsidRPr="00481999">
        <w:rPr>
          <w:rFonts w:cs="Times New Roman"/>
          <w:color w:val="000000" w:themeColor="text1"/>
        </w:rPr>
        <w:t>characterise</w:t>
      </w:r>
      <w:proofErr w:type="spellEnd"/>
      <w:r w:rsidRPr="00481999">
        <w:rPr>
          <w:rFonts w:cs="Times New Roman"/>
          <w:color w:val="000000" w:themeColor="text1"/>
        </w:rPr>
        <w:t xml:space="preserve"> the broad structure in that matrix, here principally its association with geographic separation, and calibrate it against a null in which population labels are reassigned jointly to rows and columns. Each pair is then compared with the value its own structural background predicts, and the resulting pair-level evidence is corrected for the number of pairs examined. Finally, the ABO </w:t>
      </w:r>
      <w:r w:rsidRPr="00481999">
        <w:rPr>
          <w:rFonts w:cs="Times New Roman"/>
          <w:color w:val="000000" w:themeColor="text1"/>
        </w:rPr>
        <w:lastRenderedPageBreak/>
        <w:t>region is evaluated against the same genome-wide expectation rather than against a locus-specific standard.</w:t>
      </w:r>
    </w:p>
    <w:p w14:paraId="62869679" w14:textId="4211ED71" w:rsidR="003B72BC" w:rsidRDefault="003B72BC" w:rsidP="003B72BC">
      <w:pPr>
        <w:rPr>
          <w:rFonts w:cs="Times New Roman"/>
          <w:color w:val="000000" w:themeColor="text1"/>
          <w:lang w:eastAsia="ja-JP"/>
        </w:rPr>
      </w:pPr>
      <w:r>
        <w:rPr>
          <w:noProof/>
        </w:rPr>
        <w:drawing>
          <wp:inline distT="0" distB="0" distL="0" distR="0" wp14:anchorId="7607F01E" wp14:editId="1FE312A6">
            <wp:extent cx="4892040" cy="3357245"/>
            <wp:effectExtent l="0" t="0" r="3810" b="0"/>
            <wp:docPr id="1845454842" name="図 1" descr="The image depicts a comparison of different pairwise genomic similarities and their correlation with structural predictors, including geographic distance, and a workflow for inferential analysis, including label permutation and control for false discovery rate (FDR).&#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54842" name="図 1" descr="The image depicts a comparison of different pairwise genomic similarities and their correlation with structural predictors, including geographic distance, and a workflow for inferential analysis, including label permutation and control for false discovery rate (FDR).&#10;&#10;AI 生成コンテンツは誤りを含む可能性があります。"/>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2040" cy="3357245"/>
                    </a:xfrm>
                    <a:prstGeom prst="rect">
                      <a:avLst/>
                    </a:prstGeom>
                    <a:noFill/>
                    <a:ln>
                      <a:noFill/>
                    </a:ln>
                  </pic:spPr>
                </pic:pic>
              </a:graphicData>
            </a:graphic>
          </wp:inline>
        </w:drawing>
      </w:r>
    </w:p>
    <w:p w14:paraId="6A604856" w14:textId="55425589" w:rsidR="003B72BC" w:rsidRPr="003B72BC" w:rsidRDefault="003B72BC" w:rsidP="003B72BC">
      <w:pPr>
        <w:spacing w:after="160" w:line="360" w:lineRule="auto"/>
        <w:rPr>
          <w:sz w:val="20"/>
          <w:szCs w:val="20"/>
          <w:lang w:eastAsia="ja-JP"/>
        </w:rPr>
      </w:pPr>
      <w:r w:rsidRPr="003B72BC">
        <w:rPr>
          <w:b/>
          <w:sz w:val="20"/>
          <w:szCs w:val="20"/>
        </w:rPr>
        <w:t xml:space="preserve">Figure 1. </w:t>
      </w:r>
      <w:r w:rsidRPr="003B72BC">
        <w:rPr>
          <w:sz w:val="20"/>
          <w:szCs w:val="20"/>
        </w:rPr>
        <w:t xml:space="preserve">Why pairwise comparisons need a structural null. (a) Four sampling units. (b) Every unit recurs across many pairs, so pairwise measurements are not independent. (c) Reading one pair on its own invites a pair-specific explanation. (d) The same pair read against the expectation generated by the whole set of units. (e) The inferential workflow used here: population profiles, complete pairwise similarity matrix, population-wide structural model, population-label permutation (QAP), residual pair test, and multiplicity control. Panels </w:t>
      </w:r>
      <w:proofErr w:type="gramStart"/>
      <w:r w:rsidRPr="003B72BC">
        <w:rPr>
          <w:sz w:val="20"/>
          <w:szCs w:val="20"/>
        </w:rPr>
        <w:t>a-d</w:t>
      </w:r>
      <w:proofErr w:type="gramEnd"/>
      <w:r w:rsidRPr="003B72BC">
        <w:rPr>
          <w:sz w:val="20"/>
          <w:szCs w:val="20"/>
        </w:rPr>
        <w:t xml:space="preserve"> are schematic illustrations and do not display analysis results.</w:t>
      </w:r>
    </w:p>
    <w:p w14:paraId="58B2F748" w14:textId="77777777" w:rsidR="001D3229" w:rsidRPr="00481999" w:rsidRDefault="00000000">
      <w:pPr>
        <w:pStyle w:val="21"/>
        <w:rPr>
          <w:rFonts w:ascii="Times New Roman" w:hAnsi="Times New Roman" w:cs="Times New Roman"/>
          <w:color w:val="000000" w:themeColor="text1"/>
        </w:rPr>
      </w:pPr>
      <w:r w:rsidRPr="00481999">
        <w:rPr>
          <w:rFonts w:ascii="Times New Roman" w:hAnsi="Times New Roman" w:cs="Times New Roman"/>
          <w:color w:val="000000" w:themeColor="text1"/>
        </w:rPr>
        <w:t>Data sources and population inclusion</w:t>
      </w:r>
    </w:p>
    <w:p w14:paraId="64C55D58" w14:textId="77777777" w:rsidR="001D3229" w:rsidRPr="00481999" w:rsidRDefault="00000000">
      <w:pPr>
        <w:ind w:firstLine="432"/>
        <w:rPr>
          <w:rFonts w:cs="Times New Roman"/>
          <w:color w:val="000000" w:themeColor="text1"/>
        </w:rPr>
      </w:pPr>
      <w:r w:rsidRPr="00481999">
        <w:rPr>
          <w:rFonts w:cs="Times New Roman"/>
          <w:color w:val="000000" w:themeColor="text1"/>
        </w:rPr>
        <w:t xml:space="preserve">We </w:t>
      </w:r>
      <w:proofErr w:type="spellStart"/>
      <w:r w:rsidRPr="00481999">
        <w:rPr>
          <w:rFonts w:cs="Times New Roman"/>
          <w:color w:val="000000" w:themeColor="text1"/>
        </w:rPr>
        <w:t>analysed</w:t>
      </w:r>
      <w:proofErr w:type="spellEnd"/>
      <w:r w:rsidRPr="00481999">
        <w:rPr>
          <w:rFonts w:cs="Times New Roman"/>
          <w:color w:val="000000" w:themeColor="text1"/>
        </w:rPr>
        <w:t xml:space="preserve"> publicly archived segment calls generated with </w:t>
      </w:r>
      <w:proofErr w:type="spellStart"/>
      <w:r w:rsidRPr="00481999">
        <w:rPr>
          <w:rFonts w:cs="Times New Roman"/>
          <w:color w:val="000000" w:themeColor="text1"/>
        </w:rPr>
        <w:t>hmmix</w:t>
      </w:r>
      <w:proofErr w:type="spellEnd"/>
      <w:r w:rsidRPr="00481999">
        <w:rPr>
          <w:rFonts w:cs="Times New Roman"/>
          <w:color w:val="000000" w:themeColor="text1"/>
        </w:rPr>
        <w:t xml:space="preserve">, a hidden Markov model-based method that detects candidate archaic sequence without requiring an unadmixed modern outgroup (Skov et al. 2018). Segment </w:t>
      </w:r>
      <w:r w:rsidRPr="00481999">
        <w:rPr>
          <w:rFonts w:cs="Times New Roman"/>
          <w:color w:val="000000" w:themeColor="text1"/>
        </w:rPr>
        <w:lastRenderedPageBreak/>
        <w:t xml:space="preserve">files for the 1000 Genomes Project and HGDP samples were obtained from </w:t>
      </w:r>
      <w:proofErr w:type="spellStart"/>
      <w:r w:rsidRPr="00481999">
        <w:rPr>
          <w:rFonts w:cs="Times New Roman"/>
          <w:color w:val="000000" w:themeColor="text1"/>
        </w:rPr>
        <w:t>Zenodo</w:t>
      </w:r>
      <w:proofErr w:type="spellEnd"/>
      <w:r w:rsidRPr="00481999">
        <w:rPr>
          <w:rFonts w:cs="Times New Roman"/>
          <w:color w:val="000000" w:themeColor="text1"/>
        </w:rPr>
        <w:t xml:space="preserve"> record 14136628. Source population definitions followed those resources (1000 Genomes Project Consortium 2015; Bergström et al. 2020). Secure Hash Algorithm 256 (SHA-256) checksums of both raw files are written to the analysis provenance record.</w:t>
      </w:r>
    </w:p>
    <w:p w14:paraId="029AF128" w14:textId="77777777" w:rsidR="001D3229" w:rsidRPr="00481999" w:rsidRDefault="00000000">
      <w:pPr>
        <w:ind w:firstLine="432"/>
        <w:rPr>
          <w:rFonts w:cs="Times New Roman"/>
          <w:color w:val="000000" w:themeColor="text1"/>
        </w:rPr>
      </w:pPr>
      <w:r w:rsidRPr="00481999">
        <w:rPr>
          <w:rFonts w:cs="Times New Roman"/>
          <w:color w:val="000000" w:themeColor="text1"/>
        </w:rPr>
        <w:t>Segments with mean posterior probability below 0.8 were excluded. Populations with fewer than seven represented individuals were excluded, leaving 3,134 individuals in 66 populations. Source calls annotated as Neanderthal or Both entered the Neanderthal profile; calls annotated as Denisova or Both entered the Denisovan profile.</w:t>
      </w:r>
    </w:p>
    <w:p w14:paraId="0D224C7F" w14:textId="77777777" w:rsidR="001D3229" w:rsidRPr="00481999" w:rsidRDefault="00000000">
      <w:pPr>
        <w:pStyle w:val="21"/>
        <w:rPr>
          <w:rFonts w:ascii="Times New Roman" w:hAnsi="Times New Roman" w:cs="Times New Roman"/>
          <w:color w:val="000000" w:themeColor="text1"/>
        </w:rPr>
      </w:pPr>
      <w:r w:rsidRPr="00481999">
        <w:rPr>
          <w:rFonts w:ascii="Times New Roman" w:hAnsi="Times New Roman" w:cs="Times New Roman"/>
          <w:color w:val="000000" w:themeColor="text1"/>
        </w:rPr>
        <w:t>Population profiles and pairwise similarity</w:t>
      </w:r>
    </w:p>
    <w:p w14:paraId="77DD6A1E" w14:textId="77777777" w:rsidR="001D3229" w:rsidRPr="00481999" w:rsidRDefault="00000000">
      <w:pPr>
        <w:ind w:firstLine="432"/>
        <w:rPr>
          <w:rFonts w:cs="Times New Roman"/>
          <w:color w:val="000000" w:themeColor="text1"/>
        </w:rPr>
      </w:pPr>
      <w:r w:rsidRPr="00481999">
        <w:rPr>
          <w:rFonts w:cs="Times New Roman"/>
          <w:color w:val="000000" w:themeColor="text1"/>
        </w:rPr>
        <w:t xml:space="preserve">Autosomes were partitioned into 500-kilobase (kb) windows. Within each ancestry category, overlapping or fragmented source segments </w:t>
      </w:r>
      <w:proofErr w:type="gramStart"/>
      <w:r w:rsidRPr="00481999">
        <w:rPr>
          <w:rFonts w:cs="Times New Roman"/>
          <w:color w:val="000000" w:themeColor="text1"/>
        </w:rPr>
        <w:t>were collapsed</w:t>
      </w:r>
      <w:proofErr w:type="gramEnd"/>
      <w:r w:rsidRPr="00481999">
        <w:rPr>
          <w:rFonts w:cs="Times New Roman"/>
          <w:color w:val="000000" w:themeColor="text1"/>
        </w:rPr>
        <w:t xml:space="preserve"> so that each individual-haplotype-window contributed at most one presence. For each population and window, unique haplotype presences were divided by twice the number of represented individuals. A runtime validity check required every frequency to lie between 0 and 1.</w:t>
      </w:r>
    </w:p>
    <w:p w14:paraId="043D0AC3" w14:textId="77777777" w:rsidR="001D3229" w:rsidRPr="00481999" w:rsidRDefault="00000000">
      <w:pPr>
        <w:ind w:firstLine="432"/>
        <w:rPr>
          <w:rFonts w:cs="Times New Roman"/>
          <w:color w:val="000000" w:themeColor="text1"/>
        </w:rPr>
      </w:pPr>
      <w:r w:rsidRPr="00481999">
        <w:rPr>
          <w:rFonts w:cs="Times New Roman"/>
          <w:color w:val="000000" w:themeColor="text1"/>
        </w:rPr>
        <w:t xml:space="preserve">For each population pair, Pearson correlation was calculated across the union of windows with a non-zero frequency in either population. Pairs required more than 100 union windows for Neanderthal and more than 50 for </w:t>
      </w:r>
      <w:r w:rsidRPr="00481999">
        <w:rPr>
          <w:rFonts w:cs="Times New Roman"/>
          <w:color w:val="000000" w:themeColor="text1"/>
        </w:rPr>
        <w:lastRenderedPageBreak/>
        <w:t>Denisovan profiles. The 66-population matrices contained 2,145 unique off-diagonal pairs. Correlations describe profile similarity and do not establish identity by descent. Spearman correlation and cosine similarity were calculated as metric sensitivities.</w:t>
      </w:r>
    </w:p>
    <w:p w14:paraId="34D28793" w14:textId="77777777" w:rsidR="001D3229" w:rsidRPr="00481999" w:rsidRDefault="00000000">
      <w:pPr>
        <w:ind w:firstLine="432"/>
        <w:rPr>
          <w:rFonts w:cs="Times New Roman"/>
          <w:color w:val="000000" w:themeColor="text1"/>
        </w:rPr>
      </w:pPr>
      <w:r w:rsidRPr="00481999">
        <w:rPr>
          <w:rFonts w:cs="Times New Roman"/>
          <w:color w:val="000000" w:themeColor="text1"/>
        </w:rPr>
        <w:t>Population coordinates were consolidated in a versioned metadata table from source sampling locations or population centroids. Great-circle distance was calculated with the Haversine formula. Coordinate uncertainty and co-located population labels were assessed by excluding zero-distance pairs.</w:t>
      </w:r>
    </w:p>
    <w:p w14:paraId="0BA7D6BE" w14:textId="77777777" w:rsidR="001D3229" w:rsidRPr="00481999" w:rsidRDefault="00000000">
      <w:pPr>
        <w:pStyle w:val="21"/>
        <w:rPr>
          <w:rFonts w:ascii="Times New Roman" w:hAnsi="Times New Roman" w:cs="Times New Roman"/>
          <w:color w:val="000000" w:themeColor="text1"/>
        </w:rPr>
      </w:pPr>
      <w:r w:rsidRPr="00481999">
        <w:rPr>
          <w:rFonts w:ascii="Times New Roman" w:hAnsi="Times New Roman" w:cs="Times New Roman"/>
          <w:color w:val="000000" w:themeColor="text1"/>
        </w:rPr>
        <w:t>Dyadic regression and permutation inference</w:t>
      </w:r>
    </w:p>
    <w:p w14:paraId="40E5DD50" w14:textId="77777777" w:rsidR="001D3229" w:rsidRPr="00481999" w:rsidRDefault="00000000">
      <w:pPr>
        <w:ind w:firstLine="432"/>
        <w:rPr>
          <w:rFonts w:cs="Times New Roman"/>
          <w:color w:val="000000" w:themeColor="text1"/>
        </w:rPr>
      </w:pPr>
      <w:r w:rsidRPr="00481999">
        <w:rPr>
          <w:rFonts w:cs="Times New Roman"/>
          <w:color w:val="000000" w:themeColor="text1"/>
        </w:rPr>
        <w:t>The primary expanded descriptive model regressed pairwise similarity on great-circle distance per 1,000 km, an indicator for involvement of one of four designated recently admixed American populations (Puerto Ricans from Puerto Rico, PUR; Colombians from Medellín, Colombia, CLM; people with Mexican ancestry from Los Angeles, United States, MXL; and Peruvians from Lima, Peru, PEL), same-continent status, and same-dataset status. These indicators are coarse sensitivity covariates, not individual ancestry estimates or causal controls. Distance-only models were also fit.</w:t>
      </w:r>
    </w:p>
    <w:p w14:paraId="4D6818EF" w14:textId="77777777" w:rsidR="001D3229" w:rsidRPr="00481999" w:rsidRDefault="00000000">
      <w:pPr>
        <w:spacing w:before="120" w:after="120"/>
        <w:jc w:val="center"/>
        <w:rPr>
          <w:rFonts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szCs w:val="24"/>
                </w:rPr>
                <m:t>s</m:t>
              </m:r>
            </m:e>
            <m:sub>
              <m:r>
                <w:rPr>
                  <w:rFonts w:ascii="Cambria Math" w:hAnsi="Cambria Math" w:cs="Times New Roman"/>
                  <w:color w:val="000000" w:themeColor="text1"/>
                  <w:szCs w:val="24"/>
                </w:rPr>
                <m:t>ij</m:t>
              </m:r>
            </m:sub>
          </m:sSub>
          <m:r>
            <m:rPr>
              <m:sty m:val="p"/>
            </m:rPr>
            <w:rPr>
              <w:rFonts w:ascii="Cambria Math" w:hAnsi="Cambria Math" w:cs="Times New Roman"/>
              <w:color w:val="000000" w:themeColor="text1"/>
              <w:szCs w:val="24"/>
            </w:rPr>
            <m:t xml:space="preserve"> = </m:t>
          </m:r>
          <m:sSub>
            <m:sSubPr>
              <m:ctrlPr>
                <w:rPr>
                  <w:rFonts w:ascii="Cambria Math" w:hAnsi="Cambria Math" w:cs="Times New Roman"/>
                  <w:color w:val="000000" w:themeColor="text1"/>
                </w:rPr>
              </m:ctrlPr>
            </m:sSubPr>
            <m:e>
              <m:r>
                <w:rPr>
                  <w:rFonts w:ascii="Cambria Math" w:hAnsi="Cambria Math" w:cs="Times New Roman"/>
                  <w:color w:val="000000" w:themeColor="text1"/>
                  <w:szCs w:val="24"/>
                </w:rPr>
                <m:t>β</m:t>
              </m:r>
            </m:e>
            <m:sub>
              <m:r>
                <m:rPr>
                  <m:sty m:val="p"/>
                </m:rPr>
                <w:rPr>
                  <w:rFonts w:ascii="Cambria Math" w:hAnsi="Cambria Math" w:cs="Times New Roman"/>
                  <w:color w:val="000000" w:themeColor="text1"/>
                  <w:szCs w:val="24"/>
                </w:rPr>
                <m:t>0</m:t>
              </m:r>
            </m:sub>
          </m:sSub>
          <m:r>
            <m:rPr>
              <m:sty m:val="p"/>
            </m:rPr>
            <w:rPr>
              <w:rFonts w:ascii="Cambria Math" w:hAnsi="Cambria Math" w:cs="Times New Roman"/>
              <w:color w:val="000000" w:themeColor="text1"/>
              <w:szCs w:val="24"/>
            </w:rPr>
            <m:t xml:space="preserve"> + </m:t>
          </m:r>
          <m:sSub>
            <m:sSubPr>
              <m:ctrlPr>
                <w:rPr>
                  <w:rFonts w:ascii="Cambria Math" w:hAnsi="Cambria Math" w:cs="Times New Roman"/>
                  <w:color w:val="000000" w:themeColor="text1"/>
                </w:rPr>
              </m:ctrlPr>
            </m:sSubPr>
            <m:e>
              <m:r>
                <w:rPr>
                  <w:rFonts w:ascii="Cambria Math" w:hAnsi="Cambria Math" w:cs="Times New Roman"/>
                  <w:color w:val="000000" w:themeColor="text1"/>
                  <w:szCs w:val="24"/>
                </w:rPr>
                <m:t>β</m:t>
              </m:r>
            </m:e>
            <m:sub>
              <m:r>
                <m:rPr>
                  <m:sty m:val="p"/>
                </m:rPr>
                <w:rPr>
                  <w:rFonts w:ascii="Cambria Math" w:hAnsi="Cambria Math" w:cs="Times New Roman"/>
                  <w:color w:val="000000" w:themeColor="text1"/>
                  <w:szCs w:val="24"/>
                </w:rPr>
                <m:t>d</m:t>
              </m:r>
            </m:sub>
          </m:sSub>
          <m:r>
            <m:rPr>
              <m:sty m:val="p"/>
            </m:rPr>
            <w:rPr>
              <w:rFonts w:ascii="Cambria Math" w:hAnsi="Cambria Math" w:cs="Times New Roman"/>
              <w:color w:val="000000" w:themeColor="text1"/>
              <w:szCs w:val="24"/>
            </w:rPr>
            <m:t xml:space="preserve"> </m:t>
          </m:r>
          <m:sSub>
            <m:sSubPr>
              <m:ctrlPr>
                <w:rPr>
                  <w:rFonts w:ascii="Cambria Math" w:hAnsi="Cambria Math" w:cs="Times New Roman"/>
                  <w:color w:val="000000" w:themeColor="text1"/>
                </w:rPr>
              </m:ctrlPr>
            </m:sSubPr>
            <m:e>
              <m:r>
                <w:rPr>
                  <w:rFonts w:ascii="Cambria Math" w:hAnsi="Cambria Math" w:cs="Times New Roman"/>
                  <w:color w:val="000000" w:themeColor="text1"/>
                  <w:szCs w:val="24"/>
                </w:rPr>
                <m:t>d</m:t>
              </m:r>
            </m:e>
            <m:sub>
              <m:r>
                <w:rPr>
                  <w:rFonts w:ascii="Cambria Math" w:hAnsi="Cambria Math" w:cs="Times New Roman"/>
                  <w:color w:val="000000" w:themeColor="text1"/>
                  <w:szCs w:val="24"/>
                </w:rPr>
                <m:t>ij</m:t>
              </m:r>
            </m:sub>
          </m:sSub>
          <m:r>
            <m:rPr>
              <m:sty m:val="p"/>
            </m:rPr>
            <w:rPr>
              <w:rFonts w:ascii="Cambria Math" w:hAnsi="Cambria Math" w:cs="Times New Roman"/>
              <w:color w:val="000000" w:themeColor="text1"/>
              <w:szCs w:val="24"/>
            </w:rPr>
            <m:t xml:space="preserve"> + </m:t>
          </m:r>
          <m:sSub>
            <m:sSubPr>
              <m:ctrlPr>
                <w:rPr>
                  <w:rFonts w:ascii="Cambria Math" w:hAnsi="Cambria Math" w:cs="Times New Roman"/>
                  <w:color w:val="000000" w:themeColor="text1"/>
                </w:rPr>
              </m:ctrlPr>
            </m:sSubPr>
            <m:e>
              <m:r>
                <w:rPr>
                  <w:rFonts w:ascii="Cambria Math" w:hAnsi="Cambria Math" w:cs="Times New Roman"/>
                  <w:color w:val="000000" w:themeColor="text1"/>
                  <w:szCs w:val="24"/>
                </w:rPr>
                <m:t>β</m:t>
              </m:r>
            </m:e>
            <m:sub>
              <m:r>
                <m:rPr>
                  <m:sty m:val="p"/>
                </m:rPr>
                <w:rPr>
                  <w:rFonts w:ascii="Cambria Math" w:hAnsi="Cambria Math" w:cs="Times New Roman"/>
                  <w:color w:val="000000" w:themeColor="text1"/>
                  <w:szCs w:val="24"/>
                </w:rPr>
                <m:t>a</m:t>
              </m:r>
            </m:sub>
          </m:sSub>
          <m:r>
            <m:rPr>
              <m:sty m:val="p"/>
            </m:rPr>
            <w:rPr>
              <w:rFonts w:ascii="Cambria Math" w:hAnsi="Cambria Math" w:cs="Times New Roman"/>
              <w:color w:val="000000" w:themeColor="text1"/>
              <w:szCs w:val="24"/>
            </w:rPr>
            <m:t xml:space="preserve"> </m:t>
          </m:r>
          <m:sSub>
            <m:sSubPr>
              <m:ctrlPr>
                <w:rPr>
                  <w:rFonts w:ascii="Cambria Math" w:hAnsi="Cambria Math" w:cs="Times New Roman"/>
                  <w:color w:val="000000" w:themeColor="text1"/>
                </w:rPr>
              </m:ctrlPr>
            </m:sSubPr>
            <m:e>
              <m:r>
                <w:rPr>
                  <w:rFonts w:ascii="Cambria Math" w:hAnsi="Cambria Math" w:cs="Times New Roman"/>
                  <w:color w:val="000000" w:themeColor="text1"/>
                  <w:szCs w:val="24"/>
                </w:rPr>
                <m:t>a</m:t>
              </m:r>
            </m:e>
            <m:sub>
              <m:r>
                <w:rPr>
                  <w:rFonts w:ascii="Cambria Math" w:hAnsi="Cambria Math" w:cs="Times New Roman"/>
                  <w:color w:val="000000" w:themeColor="text1"/>
                  <w:szCs w:val="24"/>
                </w:rPr>
                <m:t>ij</m:t>
              </m:r>
            </m:sub>
          </m:sSub>
          <m:r>
            <m:rPr>
              <m:sty m:val="p"/>
            </m:rPr>
            <w:rPr>
              <w:rFonts w:ascii="Cambria Math" w:hAnsi="Cambria Math" w:cs="Times New Roman"/>
              <w:color w:val="000000" w:themeColor="text1"/>
              <w:szCs w:val="24"/>
            </w:rPr>
            <m:t xml:space="preserve"> + </m:t>
          </m:r>
          <m:sSub>
            <m:sSubPr>
              <m:ctrlPr>
                <w:rPr>
                  <w:rFonts w:ascii="Cambria Math" w:hAnsi="Cambria Math" w:cs="Times New Roman"/>
                  <w:color w:val="000000" w:themeColor="text1"/>
                </w:rPr>
              </m:ctrlPr>
            </m:sSubPr>
            <m:e>
              <m:r>
                <w:rPr>
                  <w:rFonts w:ascii="Cambria Math" w:hAnsi="Cambria Math" w:cs="Times New Roman"/>
                  <w:color w:val="000000" w:themeColor="text1"/>
                  <w:szCs w:val="24"/>
                </w:rPr>
                <m:t>β</m:t>
              </m:r>
            </m:e>
            <m:sub>
              <m:r>
                <m:rPr>
                  <m:sty m:val="p"/>
                </m:rPr>
                <w:rPr>
                  <w:rFonts w:ascii="Cambria Math" w:hAnsi="Cambria Math" w:cs="Times New Roman"/>
                  <w:color w:val="000000" w:themeColor="text1"/>
                  <w:szCs w:val="24"/>
                </w:rPr>
                <m:t>c</m:t>
              </m:r>
            </m:sub>
          </m:sSub>
          <m:r>
            <m:rPr>
              <m:sty m:val="p"/>
            </m:rPr>
            <w:rPr>
              <w:rFonts w:ascii="Cambria Math" w:hAnsi="Cambria Math" w:cs="Times New Roman"/>
              <w:color w:val="000000" w:themeColor="text1"/>
              <w:szCs w:val="24"/>
            </w:rPr>
            <m:t xml:space="preserve"> </m:t>
          </m:r>
          <m:sSub>
            <m:sSubPr>
              <m:ctrlPr>
                <w:rPr>
                  <w:rFonts w:ascii="Cambria Math" w:hAnsi="Cambria Math" w:cs="Times New Roman"/>
                  <w:color w:val="000000" w:themeColor="text1"/>
                </w:rPr>
              </m:ctrlPr>
            </m:sSubPr>
            <m:e>
              <m:r>
                <w:rPr>
                  <w:rFonts w:ascii="Cambria Math" w:hAnsi="Cambria Math" w:cs="Times New Roman"/>
                  <w:color w:val="000000" w:themeColor="text1"/>
                  <w:szCs w:val="24"/>
                </w:rPr>
                <m:t>c</m:t>
              </m:r>
            </m:e>
            <m:sub>
              <m:r>
                <w:rPr>
                  <w:rFonts w:ascii="Cambria Math" w:hAnsi="Cambria Math" w:cs="Times New Roman"/>
                  <w:color w:val="000000" w:themeColor="text1"/>
                  <w:szCs w:val="24"/>
                </w:rPr>
                <m:t>ij</m:t>
              </m:r>
            </m:sub>
          </m:sSub>
          <m:r>
            <m:rPr>
              <m:sty m:val="p"/>
            </m:rPr>
            <w:rPr>
              <w:rFonts w:ascii="Cambria Math" w:hAnsi="Cambria Math" w:cs="Times New Roman"/>
              <w:color w:val="000000" w:themeColor="text1"/>
              <w:szCs w:val="24"/>
            </w:rPr>
            <m:t xml:space="preserve"> + </m:t>
          </m:r>
          <m:sSub>
            <m:sSubPr>
              <m:ctrlPr>
                <w:rPr>
                  <w:rFonts w:ascii="Cambria Math" w:hAnsi="Cambria Math" w:cs="Times New Roman"/>
                  <w:color w:val="000000" w:themeColor="text1"/>
                </w:rPr>
              </m:ctrlPr>
            </m:sSubPr>
            <m:e>
              <m:r>
                <w:rPr>
                  <w:rFonts w:ascii="Cambria Math" w:hAnsi="Cambria Math" w:cs="Times New Roman"/>
                  <w:color w:val="000000" w:themeColor="text1"/>
                  <w:szCs w:val="24"/>
                </w:rPr>
                <m:t>β</m:t>
              </m:r>
            </m:e>
            <m:sub>
              <m:r>
                <m:rPr>
                  <m:sty m:val="p"/>
                </m:rPr>
                <w:rPr>
                  <w:rFonts w:ascii="Cambria Math" w:hAnsi="Cambria Math" w:cs="Times New Roman"/>
                  <w:color w:val="000000" w:themeColor="text1"/>
                  <w:szCs w:val="24"/>
                </w:rPr>
                <m:t>m</m:t>
              </m:r>
            </m:sub>
          </m:sSub>
          <m:r>
            <m:rPr>
              <m:sty m:val="p"/>
            </m:rPr>
            <w:rPr>
              <w:rFonts w:ascii="Cambria Math" w:hAnsi="Cambria Math" w:cs="Times New Roman"/>
              <w:color w:val="000000" w:themeColor="text1"/>
              <w:szCs w:val="24"/>
            </w:rPr>
            <m:t xml:space="preserve"> </m:t>
          </m:r>
          <m:sSub>
            <m:sSubPr>
              <m:ctrlPr>
                <w:rPr>
                  <w:rFonts w:ascii="Cambria Math" w:hAnsi="Cambria Math" w:cs="Times New Roman"/>
                  <w:color w:val="000000" w:themeColor="text1"/>
                </w:rPr>
              </m:ctrlPr>
            </m:sSubPr>
            <m:e>
              <m:r>
                <w:rPr>
                  <w:rFonts w:ascii="Cambria Math" w:hAnsi="Cambria Math" w:cs="Times New Roman"/>
                  <w:color w:val="000000" w:themeColor="text1"/>
                  <w:szCs w:val="24"/>
                </w:rPr>
                <m:t>m</m:t>
              </m:r>
            </m:e>
            <m:sub>
              <m:r>
                <w:rPr>
                  <w:rFonts w:ascii="Cambria Math" w:hAnsi="Cambria Math" w:cs="Times New Roman"/>
                  <w:color w:val="000000" w:themeColor="text1"/>
                  <w:szCs w:val="24"/>
                </w:rPr>
                <m:t>ij</m:t>
              </m:r>
            </m:sub>
          </m:sSub>
          <m:r>
            <m:rPr>
              <m:sty m:val="p"/>
            </m:rPr>
            <w:rPr>
              <w:rFonts w:ascii="Cambria Math" w:hAnsi="Cambria Math" w:cs="Times New Roman"/>
              <w:color w:val="000000" w:themeColor="text1"/>
              <w:szCs w:val="24"/>
            </w:rPr>
            <m:t xml:space="preserve"> + </m:t>
          </m:r>
          <m:sSub>
            <m:sSubPr>
              <m:ctrlPr>
                <w:rPr>
                  <w:rFonts w:ascii="Cambria Math" w:hAnsi="Cambria Math" w:cs="Times New Roman"/>
                  <w:color w:val="000000" w:themeColor="text1"/>
                </w:rPr>
              </m:ctrlPr>
            </m:sSubPr>
            <m:e>
              <m:r>
                <w:rPr>
                  <w:rFonts w:ascii="Cambria Math" w:hAnsi="Cambria Math" w:cs="Times New Roman"/>
                  <w:color w:val="000000" w:themeColor="text1"/>
                  <w:szCs w:val="24"/>
                </w:rPr>
                <m:t>ε</m:t>
              </m:r>
            </m:e>
            <m:sub>
              <m:r>
                <w:rPr>
                  <w:rFonts w:ascii="Cambria Math" w:hAnsi="Cambria Math" w:cs="Times New Roman"/>
                  <w:color w:val="000000" w:themeColor="text1"/>
                  <w:szCs w:val="24"/>
                </w:rPr>
                <m:t>ij</m:t>
              </m:r>
            </m:sub>
          </m:sSub>
        </m:oMath>
      </m:oMathPara>
    </w:p>
    <w:p w14:paraId="2D915E9E" w14:textId="77777777" w:rsidR="001D3229" w:rsidRPr="00481999" w:rsidRDefault="00000000">
      <w:pPr>
        <w:ind w:firstLine="432"/>
        <w:rPr>
          <w:rFonts w:cs="Times New Roman"/>
          <w:color w:val="000000" w:themeColor="text1"/>
        </w:rPr>
      </w:pPr>
      <w:r w:rsidRPr="00481999">
        <w:rPr>
          <w:rFonts w:cs="Times New Roman"/>
          <w:i/>
          <w:color w:val="000000" w:themeColor="text1"/>
        </w:rPr>
        <w:t xml:space="preserve">where </w:t>
      </w:r>
      <w:proofErr w:type="spellStart"/>
      <w:r w:rsidRPr="00481999">
        <w:rPr>
          <w:rFonts w:cs="Times New Roman"/>
          <w:i/>
          <w:color w:val="000000" w:themeColor="text1"/>
        </w:rPr>
        <w:t>s_ij</w:t>
      </w:r>
      <w:proofErr w:type="spellEnd"/>
      <w:r w:rsidRPr="00481999">
        <w:rPr>
          <w:rFonts w:cs="Times New Roman"/>
          <w:i/>
          <w:color w:val="000000" w:themeColor="text1"/>
        </w:rPr>
        <w:t xml:space="preserve"> is pairwise profile similarity, </w:t>
      </w:r>
      <w:proofErr w:type="spellStart"/>
      <w:r w:rsidRPr="00481999">
        <w:rPr>
          <w:rFonts w:cs="Times New Roman"/>
          <w:i/>
          <w:color w:val="000000" w:themeColor="text1"/>
        </w:rPr>
        <w:t>d_ij</w:t>
      </w:r>
      <w:proofErr w:type="spellEnd"/>
      <w:r w:rsidRPr="00481999">
        <w:rPr>
          <w:rFonts w:cs="Times New Roman"/>
          <w:i/>
          <w:color w:val="000000" w:themeColor="text1"/>
        </w:rPr>
        <w:t xml:space="preserve"> is great-circle distance in thousands of </w:t>
      </w:r>
      <w:proofErr w:type="spellStart"/>
      <w:r w:rsidRPr="00481999">
        <w:rPr>
          <w:rFonts w:cs="Times New Roman"/>
          <w:i/>
          <w:color w:val="000000" w:themeColor="text1"/>
        </w:rPr>
        <w:t>kilometres</w:t>
      </w:r>
      <w:proofErr w:type="spellEnd"/>
      <w:r w:rsidRPr="00481999">
        <w:rPr>
          <w:rFonts w:cs="Times New Roman"/>
          <w:i/>
          <w:color w:val="000000" w:themeColor="text1"/>
        </w:rPr>
        <w:t xml:space="preserve">, </w:t>
      </w:r>
      <w:proofErr w:type="spellStart"/>
      <w:r w:rsidRPr="00481999">
        <w:rPr>
          <w:rFonts w:cs="Times New Roman"/>
          <w:i/>
          <w:color w:val="000000" w:themeColor="text1"/>
        </w:rPr>
        <w:t>a_ij</w:t>
      </w:r>
      <w:proofErr w:type="spellEnd"/>
      <w:r w:rsidRPr="00481999">
        <w:rPr>
          <w:rFonts w:cs="Times New Roman"/>
          <w:i/>
          <w:color w:val="000000" w:themeColor="text1"/>
        </w:rPr>
        <w:t xml:space="preserve"> indicates a pair involving a designated recently </w:t>
      </w:r>
      <w:r w:rsidRPr="00481999">
        <w:rPr>
          <w:rFonts w:cs="Times New Roman"/>
          <w:i/>
          <w:color w:val="000000" w:themeColor="text1"/>
        </w:rPr>
        <w:lastRenderedPageBreak/>
        <w:t xml:space="preserve">admixed American population, </w:t>
      </w:r>
      <w:proofErr w:type="spellStart"/>
      <w:r w:rsidRPr="00481999">
        <w:rPr>
          <w:rFonts w:cs="Times New Roman"/>
          <w:i/>
          <w:color w:val="000000" w:themeColor="text1"/>
        </w:rPr>
        <w:t>c_ij</w:t>
      </w:r>
      <w:proofErr w:type="spellEnd"/>
      <w:r w:rsidRPr="00481999">
        <w:rPr>
          <w:rFonts w:cs="Times New Roman"/>
          <w:i/>
          <w:color w:val="000000" w:themeColor="text1"/>
        </w:rPr>
        <w:t xml:space="preserve"> is same-continent status, and </w:t>
      </w:r>
      <w:proofErr w:type="spellStart"/>
      <w:r w:rsidRPr="00481999">
        <w:rPr>
          <w:rFonts w:cs="Times New Roman"/>
          <w:i/>
          <w:color w:val="000000" w:themeColor="text1"/>
        </w:rPr>
        <w:t>m_ij</w:t>
      </w:r>
      <w:proofErr w:type="spellEnd"/>
      <w:r w:rsidRPr="00481999">
        <w:rPr>
          <w:rFonts w:cs="Times New Roman"/>
          <w:i/>
          <w:color w:val="000000" w:themeColor="text1"/>
        </w:rPr>
        <w:t xml:space="preserve"> is same-dataset status. Subscripts denote population pairs </w:t>
      </w:r>
      <w:proofErr w:type="spellStart"/>
      <w:r w:rsidRPr="00481999">
        <w:rPr>
          <w:rFonts w:cs="Times New Roman"/>
          <w:i/>
          <w:color w:val="000000" w:themeColor="text1"/>
        </w:rPr>
        <w:t>i</w:t>
      </w:r>
      <w:proofErr w:type="spellEnd"/>
      <w:r w:rsidRPr="00481999">
        <w:rPr>
          <w:rFonts w:cs="Times New Roman"/>
          <w:i/>
          <w:color w:val="000000" w:themeColor="text1"/>
        </w:rPr>
        <w:t xml:space="preserve"> and j.</w:t>
      </w:r>
    </w:p>
    <w:p w14:paraId="3CE7AC6A" w14:textId="77777777" w:rsidR="001D3229" w:rsidRPr="00481999" w:rsidRDefault="00000000">
      <w:pPr>
        <w:ind w:firstLine="432"/>
        <w:rPr>
          <w:rFonts w:cs="Times New Roman"/>
          <w:color w:val="000000" w:themeColor="text1"/>
        </w:rPr>
      </w:pPr>
      <w:r w:rsidRPr="00481999">
        <w:rPr>
          <w:rFonts w:cs="Times New Roman"/>
          <w:color w:val="000000" w:themeColor="text1"/>
        </w:rPr>
        <w:t>Coefficient P values used 9,999 QAP permutations. At each iteration, the response matrix was permuted by the same random population-label order on rows and columns, after which the model was refit. Two-sided P values were the proportion of permuted coefficient magnitudes at least as large as the observed magnitude, including a plus-one correction. Descriptive R-squared values quantify fit to the observed pair matrix and are not interpreted as independent observations or causal variance explained.</w:t>
      </w:r>
    </w:p>
    <w:p w14:paraId="1ECE3042" w14:textId="77777777" w:rsidR="001D3229" w:rsidRPr="00481999" w:rsidRDefault="00000000">
      <w:pPr>
        <w:ind w:firstLine="432"/>
        <w:rPr>
          <w:rFonts w:cs="Times New Roman"/>
          <w:color w:val="000000" w:themeColor="text1"/>
        </w:rPr>
      </w:pPr>
      <w:r w:rsidRPr="00481999">
        <w:rPr>
          <w:rFonts w:cs="Times New Roman"/>
          <w:color w:val="000000" w:themeColor="text1"/>
        </w:rPr>
        <w:t xml:space="preserve">Mantel tests and QAP both use matrix permutation to respect dyadic dependence, but they answer different questions. A Mantel test evaluates one correlation between two distance matrices (Mantel 1967); it does not estimate regression coefficients for several predictors, does not generate a residual for each pair, and does not support FDR control across pairs; these differences, and the sensitivity of matrix permutation tests to spatial autocorrelation, are well documented (Legendre and Fortin 2010; Guillot and Rousset 2013). Our QAP implementation permutes the response matrix, refits the multiple regression, and records the coefficient and each pair's residual at every iteration. The same population-label permutation therefore provides a dependence-aware null for </w:t>
      </w:r>
      <w:r w:rsidRPr="00481999">
        <w:rPr>
          <w:rFonts w:cs="Times New Roman"/>
          <w:color w:val="000000" w:themeColor="text1"/>
        </w:rPr>
        <w:lastRenderedPageBreak/>
        <w:t>the distance coefficient, a pair-level residual null distribution, and a joint basis for Benjamini-Hochberg FDR control.</w:t>
      </w:r>
    </w:p>
    <w:p w14:paraId="671E0DF8" w14:textId="77777777" w:rsidR="001D3229" w:rsidRPr="00481999" w:rsidRDefault="00000000">
      <w:pPr>
        <w:ind w:firstLine="432"/>
        <w:rPr>
          <w:rFonts w:cs="Times New Roman"/>
          <w:color w:val="000000" w:themeColor="text1"/>
        </w:rPr>
      </w:pPr>
      <w:r w:rsidRPr="00481999">
        <w:rPr>
          <w:rFonts w:cs="Times New Roman"/>
          <w:color w:val="000000" w:themeColor="text1"/>
        </w:rPr>
        <w:t>Population-deletion stability intervals were calculated by refitting the expanded model after removing every pair containing one population in turn and reporting the 2.5th and 97.5th percentiles of the resulting coefficients. These are sensitivity intervals rather than independent-sample confidence intervals.</w:t>
      </w:r>
    </w:p>
    <w:p w14:paraId="070AD391" w14:textId="77777777" w:rsidR="001D3229" w:rsidRPr="00481999" w:rsidRDefault="00000000">
      <w:pPr>
        <w:pStyle w:val="21"/>
        <w:rPr>
          <w:rFonts w:ascii="Times New Roman" w:hAnsi="Times New Roman" w:cs="Times New Roman"/>
          <w:color w:val="000000" w:themeColor="text1"/>
        </w:rPr>
      </w:pPr>
      <w:r w:rsidRPr="00481999">
        <w:rPr>
          <w:rFonts w:ascii="Times New Roman" w:hAnsi="Times New Roman" w:cs="Times New Roman"/>
          <w:color w:val="000000" w:themeColor="text1"/>
        </w:rPr>
        <w:t>Residual outliers and multiple testing</w:t>
      </w:r>
    </w:p>
    <w:p w14:paraId="45630771" w14:textId="77777777" w:rsidR="001D3229" w:rsidRPr="00481999" w:rsidRDefault="00000000">
      <w:pPr>
        <w:ind w:firstLine="432"/>
        <w:rPr>
          <w:rFonts w:cs="Times New Roman"/>
          <w:color w:val="000000" w:themeColor="text1"/>
        </w:rPr>
      </w:pPr>
      <w:r w:rsidRPr="00481999">
        <w:rPr>
          <w:rFonts w:cs="Times New Roman"/>
          <w:color w:val="000000" w:themeColor="text1"/>
        </w:rPr>
        <w:t xml:space="preserve">Outlier analysis was restricted to the complete matrix after removing PUR, CLM, MXL, and PEL. Similarity was modelled using distance, same-continent status, and same-dataset status. Positive residuals were </w:t>
      </w:r>
      <w:proofErr w:type="spellStart"/>
      <w:r w:rsidRPr="00481999">
        <w:rPr>
          <w:rFonts w:cs="Times New Roman"/>
          <w:color w:val="000000" w:themeColor="text1"/>
        </w:rPr>
        <w:t>standardised</w:t>
      </w:r>
      <w:proofErr w:type="spellEnd"/>
      <w:r w:rsidRPr="00481999">
        <w:rPr>
          <w:rFonts w:cs="Times New Roman"/>
          <w:color w:val="000000" w:themeColor="text1"/>
        </w:rPr>
        <w:t xml:space="preserve"> by the residual standard deviation. For every pair, a one-sided nominal P value was calculated from its own residual null distribution across 9,999 population-label permutations. Because pair residuals are dyadically dependent, this null was generated by the same joint row-and-column population-label permutation used for the coefficient tests rather than by row-wise resampling, following the rationale for multiple-regression QAP with dependent dyads (Dekker, Krackhardt, and Snijders 2007). The Benjamini-Hochberg procedure was applied jointly to all non-admixed pairs within each ancestry analysis to control the FDR (Benjamini and Hochberg 1995). A supported positive outlier required </w:t>
      </w:r>
      <w:r w:rsidRPr="00481999">
        <w:rPr>
          <w:rFonts w:cs="Times New Roman"/>
          <w:color w:val="000000" w:themeColor="text1"/>
        </w:rPr>
        <w:lastRenderedPageBreak/>
        <w:t>z&gt;2 and q&lt;0.10. Because no pair met this threshold, the qualitative absence of FDR-supported outliers is robust to the exact dependence structure among pair-level P values; stricter dependence-aware procedures would only strengthen the absence of findings.</w:t>
      </w:r>
    </w:p>
    <w:p w14:paraId="03214283" w14:textId="77777777" w:rsidR="001D3229" w:rsidRPr="00481999" w:rsidRDefault="00000000">
      <w:pPr>
        <w:pStyle w:val="21"/>
        <w:rPr>
          <w:rFonts w:ascii="Times New Roman" w:hAnsi="Times New Roman" w:cs="Times New Roman"/>
          <w:color w:val="000000" w:themeColor="text1"/>
        </w:rPr>
      </w:pPr>
      <w:r w:rsidRPr="00481999">
        <w:rPr>
          <w:rFonts w:ascii="Times New Roman" w:hAnsi="Times New Roman" w:cs="Times New Roman"/>
          <w:color w:val="000000" w:themeColor="text1"/>
        </w:rPr>
        <w:t xml:space="preserve">Robustness </w:t>
      </w:r>
      <w:proofErr w:type="gramStart"/>
      <w:r w:rsidRPr="00481999">
        <w:rPr>
          <w:rFonts w:ascii="Times New Roman" w:hAnsi="Times New Roman" w:cs="Times New Roman"/>
          <w:color w:val="000000" w:themeColor="text1"/>
        </w:rPr>
        <w:t>analyses</w:t>
      </w:r>
      <w:proofErr w:type="gramEnd"/>
    </w:p>
    <w:p w14:paraId="2E014181" w14:textId="77777777" w:rsidR="001D3229" w:rsidRPr="00481999" w:rsidRDefault="00000000">
      <w:pPr>
        <w:ind w:firstLine="432"/>
        <w:rPr>
          <w:rFonts w:cs="Times New Roman"/>
          <w:color w:val="000000" w:themeColor="text1"/>
        </w:rPr>
      </w:pPr>
      <w:r w:rsidRPr="00481999">
        <w:rPr>
          <w:rFonts w:cs="Times New Roman"/>
          <w:color w:val="000000" w:themeColor="text1"/>
        </w:rPr>
        <w:t>We repeated distance-only population-label tests for 250-kb, 500-kb, and 1-megabase (Mb) windows. At 500 kb, robustness summaries compared Pearson, Spearman, and cosine similarity; minimum population sizes of 7, 10, 15, and 20; the complete dataset, non-admixed populations, 1000 Genomes-only and HGDP-only subsets; exclusion of zero-distance pairs; and leave-one-continent-out subsets. Full-window Pearson correlation and presence-absence Jaccard similarity assessed sensitivity to the non-zero-window union. Sensitivity tests used 999 population-label permutations. No genome-wide callable mask was available in the source release, so mask-adjusted profiles could not be evaluated.</w:t>
      </w:r>
    </w:p>
    <w:p w14:paraId="013AC843" w14:textId="77777777" w:rsidR="001D3229" w:rsidRPr="00481999" w:rsidRDefault="00000000">
      <w:pPr>
        <w:pStyle w:val="21"/>
        <w:rPr>
          <w:rFonts w:ascii="Times New Roman" w:hAnsi="Times New Roman" w:cs="Times New Roman"/>
          <w:color w:val="000000" w:themeColor="text1"/>
        </w:rPr>
      </w:pPr>
      <w:r w:rsidRPr="00481999">
        <w:rPr>
          <w:rFonts w:ascii="Times New Roman" w:hAnsi="Times New Roman" w:cs="Times New Roman"/>
          <w:color w:val="000000" w:themeColor="text1"/>
        </w:rPr>
        <w:t>Secondary ABO-centered analysis</w:t>
      </w:r>
    </w:p>
    <w:p w14:paraId="47216704" w14:textId="77777777" w:rsidR="001D3229" w:rsidRPr="00481999" w:rsidRDefault="00000000">
      <w:pPr>
        <w:ind w:firstLine="432"/>
        <w:rPr>
          <w:rFonts w:cs="Times New Roman"/>
          <w:color w:val="000000" w:themeColor="text1"/>
        </w:rPr>
      </w:pPr>
      <w:r w:rsidRPr="00481999">
        <w:rPr>
          <w:rFonts w:cs="Times New Roman"/>
          <w:color w:val="000000" w:themeColor="text1"/>
        </w:rPr>
        <w:t xml:space="preserve">The ABO gene was defined on Genome Reference Consortium Human Build 38 (GRCh38) as chromosome 9 (chr9):133,233,278-133,276,024. We distinguished strict gene overlap from any overlap with a 500-kb interval spanning chr9:133.0-133.5 Mb. Population carrier frequencies used unique </w:t>
      </w:r>
      <w:r w:rsidRPr="00481999">
        <w:rPr>
          <w:rFonts w:cs="Times New Roman"/>
          <w:color w:val="000000" w:themeColor="text1"/>
        </w:rPr>
        <w:lastRenderedPageBreak/>
        <w:t>individuals in the numerator and all represented source individuals in the denominator.</w:t>
      </w:r>
    </w:p>
    <w:p w14:paraId="6779D287" w14:textId="77777777" w:rsidR="001D3229" w:rsidRPr="00481999" w:rsidRDefault="00000000">
      <w:pPr>
        <w:ind w:firstLine="432"/>
        <w:rPr>
          <w:rFonts w:cs="Times New Roman"/>
          <w:color w:val="000000" w:themeColor="text1"/>
        </w:rPr>
      </w:pPr>
      <w:r w:rsidRPr="00481999">
        <w:rPr>
          <w:rFonts w:cs="Times New Roman"/>
          <w:color w:val="000000" w:themeColor="text1"/>
        </w:rPr>
        <w:t xml:space="preserve">For Neanderthal or Both segments in the interval, similarity counts to Altai, </w:t>
      </w:r>
      <w:proofErr w:type="spellStart"/>
      <w:r w:rsidRPr="00481999">
        <w:rPr>
          <w:rFonts w:cs="Times New Roman"/>
          <w:color w:val="000000" w:themeColor="text1"/>
        </w:rPr>
        <w:t>Vindija</w:t>
      </w:r>
      <w:proofErr w:type="spellEnd"/>
      <w:r w:rsidRPr="00481999">
        <w:rPr>
          <w:rFonts w:cs="Times New Roman"/>
          <w:color w:val="000000" w:themeColor="text1"/>
        </w:rPr>
        <w:t xml:space="preserve">, and </w:t>
      </w:r>
      <w:proofErr w:type="spellStart"/>
      <w:r w:rsidRPr="00481999">
        <w:rPr>
          <w:rFonts w:cs="Times New Roman"/>
          <w:color w:val="000000" w:themeColor="text1"/>
        </w:rPr>
        <w:t>Chagyrskaya</w:t>
      </w:r>
      <w:proofErr w:type="spellEnd"/>
      <w:r w:rsidRPr="00481999">
        <w:rPr>
          <w:rFonts w:cs="Times New Roman"/>
          <w:color w:val="000000" w:themeColor="text1"/>
        </w:rPr>
        <w:t xml:space="preserve"> were compared; tied maxima remained ties. The </w:t>
      </w:r>
      <w:proofErr w:type="spellStart"/>
      <w:r w:rsidRPr="00481999">
        <w:rPr>
          <w:rFonts w:cs="Times New Roman"/>
          <w:color w:val="000000" w:themeColor="text1"/>
        </w:rPr>
        <w:t>Vindija</w:t>
      </w:r>
      <w:proofErr w:type="spellEnd"/>
      <w:r w:rsidRPr="00481999">
        <w:rPr>
          <w:rFonts w:cs="Times New Roman"/>
          <w:color w:val="000000" w:themeColor="text1"/>
        </w:rPr>
        <w:t xml:space="preserve"> reference is a high-coverage Neanderthal genome (</w:t>
      </w:r>
      <w:proofErr w:type="spellStart"/>
      <w:r w:rsidRPr="00481999">
        <w:rPr>
          <w:rFonts w:cs="Times New Roman"/>
          <w:color w:val="000000" w:themeColor="text1"/>
        </w:rPr>
        <w:t>Prüfer</w:t>
      </w:r>
      <w:proofErr w:type="spellEnd"/>
      <w:r w:rsidRPr="00481999">
        <w:rPr>
          <w:rFonts w:cs="Times New Roman"/>
          <w:color w:val="000000" w:themeColor="text1"/>
        </w:rPr>
        <w:t xml:space="preserve"> et al. 2017). The O2 blood-group subtype-defining rs41302905 T allele was </w:t>
      </w:r>
      <w:proofErr w:type="spellStart"/>
      <w:r w:rsidRPr="00481999">
        <w:rPr>
          <w:rFonts w:cs="Times New Roman"/>
          <w:color w:val="000000" w:themeColor="text1"/>
        </w:rPr>
        <w:t>summarised</w:t>
      </w:r>
      <w:proofErr w:type="spellEnd"/>
      <w:r w:rsidRPr="00481999">
        <w:rPr>
          <w:rFonts w:cs="Times New Roman"/>
          <w:color w:val="000000" w:themeColor="text1"/>
        </w:rPr>
        <w:t xml:space="preserve"> from </w:t>
      </w:r>
      <w:proofErr w:type="spellStart"/>
      <w:r w:rsidRPr="00481999">
        <w:rPr>
          <w:rFonts w:cs="Times New Roman"/>
          <w:color w:val="000000" w:themeColor="text1"/>
        </w:rPr>
        <w:t>Ensembl</w:t>
      </w:r>
      <w:proofErr w:type="spellEnd"/>
      <w:r w:rsidRPr="00481999">
        <w:rPr>
          <w:rFonts w:cs="Times New Roman"/>
          <w:color w:val="000000" w:themeColor="text1"/>
        </w:rPr>
        <w:t xml:space="preserve">/1000 Genomes frequencies and published Solomon Islands frequencies (Ohashi et al. 2006). Ancient-window observations were extracted by a documented, reproducible script from the public Neanderthal-segment catalogue of Iasi et al. (2024), using the GRCh37 ABO interval that corresponds to the GRCh38 window </w:t>
      </w:r>
      <w:proofErr w:type="spellStart"/>
      <w:r w:rsidRPr="00481999">
        <w:rPr>
          <w:rFonts w:cs="Times New Roman"/>
          <w:color w:val="000000" w:themeColor="text1"/>
        </w:rPr>
        <w:t>analysed</w:t>
      </w:r>
      <w:proofErr w:type="spellEnd"/>
      <w:r w:rsidRPr="00481999">
        <w:rPr>
          <w:rFonts w:cs="Times New Roman"/>
          <w:color w:val="000000" w:themeColor="text1"/>
        </w:rPr>
        <w:t xml:space="preserve"> here; ancient and modern calls used different pipelines and were not directly compared statistically.</w:t>
      </w:r>
    </w:p>
    <w:p w14:paraId="478E74B0" w14:textId="77777777" w:rsidR="001D3229" w:rsidRPr="00481999" w:rsidRDefault="00000000">
      <w:pPr>
        <w:ind w:firstLine="432"/>
        <w:rPr>
          <w:rFonts w:cs="Times New Roman"/>
          <w:color w:val="000000" w:themeColor="text1"/>
        </w:rPr>
      </w:pPr>
      <w:r w:rsidRPr="00481999">
        <w:rPr>
          <w:rFonts w:cs="Times New Roman"/>
          <w:color w:val="000000" w:themeColor="text1"/>
        </w:rPr>
        <w:t xml:space="preserve">To ask whether the ABO region behaves differently from the rest of the genome, the window was evaluated against the genome-wide structural background rather than against a locus-specific standard. Within every 500-kb window, the absolute difference in population frequency between the two members of each non-admixed pair was regressed on geographic distance. Excess similarity was defined as the predicted difference minus the observed difference, so that positive values indicate population pairs that are more similar than expected from geographic distance, and these values were </w:t>
      </w:r>
      <w:proofErr w:type="spellStart"/>
      <w:r w:rsidRPr="00481999">
        <w:rPr>
          <w:rFonts w:cs="Times New Roman"/>
          <w:color w:val="000000" w:themeColor="text1"/>
        </w:rPr>
        <w:lastRenderedPageBreak/>
        <w:t>standardised</w:t>
      </w:r>
      <w:proofErr w:type="spellEnd"/>
      <w:r w:rsidRPr="00481999">
        <w:rPr>
          <w:rFonts w:cs="Times New Roman"/>
          <w:color w:val="000000" w:themeColor="text1"/>
        </w:rPr>
        <w:t xml:space="preserve"> by their within-window standard deviation. The largest </w:t>
      </w:r>
      <w:proofErr w:type="spellStart"/>
      <w:r w:rsidRPr="00481999">
        <w:rPr>
          <w:rFonts w:cs="Times New Roman"/>
          <w:color w:val="000000" w:themeColor="text1"/>
        </w:rPr>
        <w:t>standardised</w:t>
      </w:r>
      <w:proofErr w:type="spellEnd"/>
      <w:r w:rsidRPr="00481999">
        <w:rPr>
          <w:rFonts w:cs="Times New Roman"/>
          <w:color w:val="000000" w:themeColor="text1"/>
        </w:rPr>
        <w:t xml:space="preserve"> excess in a window </w:t>
      </w:r>
      <w:proofErr w:type="spellStart"/>
      <w:r w:rsidRPr="00481999">
        <w:rPr>
          <w:rFonts w:cs="Times New Roman"/>
          <w:color w:val="000000" w:themeColor="text1"/>
        </w:rPr>
        <w:t>summarises</w:t>
      </w:r>
      <w:proofErr w:type="spellEnd"/>
      <w:r w:rsidRPr="00481999">
        <w:rPr>
          <w:rFonts w:cs="Times New Roman"/>
          <w:color w:val="000000" w:themeColor="text1"/>
        </w:rPr>
        <w:t xml:space="preserve"> the strongest excess-similarity signal that window can offer. Collecting these per-window maxima across all windows with archaic calls in at least ten populations gives the genome-wide background distribution, and the position of the ABO window within it is reported as a percentile and an empirical P value. This comparison is descriptive of the observed matrix and is not a substitute for the pair-level permutation test.</w:t>
      </w:r>
    </w:p>
    <w:p w14:paraId="3F1F5024" w14:textId="77777777" w:rsidR="001D3229" w:rsidRPr="00481999" w:rsidRDefault="00000000">
      <w:pPr>
        <w:pStyle w:val="21"/>
        <w:rPr>
          <w:rFonts w:ascii="Times New Roman" w:hAnsi="Times New Roman" w:cs="Times New Roman"/>
          <w:color w:val="000000" w:themeColor="text1"/>
        </w:rPr>
      </w:pPr>
      <w:r w:rsidRPr="00481999">
        <w:rPr>
          <w:rFonts w:ascii="Times New Roman" w:hAnsi="Times New Roman" w:cs="Times New Roman"/>
          <w:color w:val="000000" w:themeColor="text1"/>
        </w:rPr>
        <w:t>Ethical review, community engagement, and interpretation</w:t>
      </w:r>
    </w:p>
    <w:p w14:paraId="2F524481" w14:textId="77777777" w:rsidR="001D3229" w:rsidRPr="00481999" w:rsidRDefault="00000000">
      <w:pPr>
        <w:ind w:firstLine="432"/>
        <w:rPr>
          <w:rFonts w:cs="Times New Roman"/>
          <w:color w:val="000000" w:themeColor="text1"/>
        </w:rPr>
      </w:pPr>
      <w:r w:rsidRPr="00481999">
        <w:rPr>
          <w:rFonts w:cs="Times New Roman"/>
          <w:color w:val="000000" w:themeColor="text1"/>
        </w:rPr>
        <w:t>This computational secondary analysis used de-identified public data and involved no recruitment, contact, biospecimen collection, or new individual-level phenotype inference. The author did not obtain a separate institutional review determination for this secondary analysis; approvals, consent, and data-access procedures were those reported by the source studies. This limitation is disclosed rather than treating public availability as equivalent to unrestricted ethical reuse.</w:t>
      </w:r>
    </w:p>
    <w:p w14:paraId="021AD106" w14:textId="77777777" w:rsidR="001D3229" w:rsidRPr="00481999" w:rsidRDefault="00000000">
      <w:pPr>
        <w:ind w:firstLine="432"/>
        <w:rPr>
          <w:rFonts w:cs="Times New Roman"/>
          <w:color w:val="000000" w:themeColor="text1"/>
        </w:rPr>
      </w:pPr>
      <w:r w:rsidRPr="00481999">
        <w:rPr>
          <w:rFonts w:cs="Times New Roman"/>
          <w:color w:val="000000" w:themeColor="text1"/>
        </w:rPr>
        <w:t xml:space="preserve">No source community or stakeholder representatives participated in the design, analysis, interpretation, or dissemination of the present secondary study, and no direct community return-of-results process was conducted. Because the dataset includes Indigenous participants and the topic can affect narratives of </w:t>
      </w:r>
      <w:r w:rsidRPr="00481999">
        <w:rPr>
          <w:rFonts w:cs="Times New Roman"/>
          <w:color w:val="000000" w:themeColor="text1"/>
        </w:rPr>
        <w:lastRenderedPageBreak/>
        <w:t xml:space="preserve">ancestry and migration, analyses were interpreted </w:t>
      </w:r>
      <w:proofErr w:type="gramStart"/>
      <w:r w:rsidRPr="00481999">
        <w:rPr>
          <w:rFonts w:cs="Times New Roman"/>
          <w:color w:val="000000" w:themeColor="text1"/>
        </w:rPr>
        <w:t>in light of</w:t>
      </w:r>
      <w:proofErr w:type="gramEnd"/>
      <w:r w:rsidRPr="00481999">
        <w:rPr>
          <w:rFonts w:cs="Times New Roman"/>
          <w:color w:val="000000" w:themeColor="text1"/>
        </w:rPr>
        <w:t xml:space="preserve"> Indigenous data-governance guidance and the Collective Benefit, Authority to Control, Responsibility, and Ethics (CARE) Principles (Claw et al. 2018; Carroll et al. 2020). Population labels were retained only when needed for transparent source-data description; locus-level observations were not </w:t>
      </w:r>
      <w:proofErr w:type="spellStart"/>
      <w:r w:rsidRPr="00481999">
        <w:rPr>
          <w:rFonts w:cs="Times New Roman"/>
          <w:color w:val="000000" w:themeColor="text1"/>
        </w:rPr>
        <w:t>generalised</w:t>
      </w:r>
      <w:proofErr w:type="spellEnd"/>
      <w:r w:rsidRPr="00481999">
        <w:rPr>
          <w:rFonts w:cs="Times New Roman"/>
          <w:color w:val="000000" w:themeColor="text1"/>
        </w:rPr>
        <w:t xml:space="preserve"> to communities, and migration routes were not assigned from these data. The public article, code, and derived aggregate results are the current means of results availability. These disclosures are made in the interest of transparent ethical reporting for secondary genomic analyses.</w:t>
      </w:r>
    </w:p>
    <w:p w14:paraId="59D18395" w14:textId="77777777" w:rsidR="001D3229" w:rsidRPr="00481999" w:rsidRDefault="00000000">
      <w:pPr>
        <w:pStyle w:val="1"/>
        <w:rPr>
          <w:rFonts w:ascii="Times New Roman" w:hAnsi="Times New Roman" w:cs="Times New Roman"/>
          <w:color w:val="000000" w:themeColor="text1"/>
        </w:rPr>
      </w:pPr>
      <w:r w:rsidRPr="00481999">
        <w:rPr>
          <w:rFonts w:ascii="Times New Roman" w:hAnsi="Times New Roman" w:cs="Times New Roman"/>
          <w:color w:val="000000" w:themeColor="text1"/>
        </w:rPr>
        <w:t>Results</w:t>
      </w:r>
    </w:p>
    <w:p w14:paraId="55B1D202" w14:textId="77777777" w:rsidR="001D3229" w:rsidRPr="00481999" w:rsidRDefault="00000000">
      <w:pPr>
        <w:pStyle w:val="21"/>
        <w:rPr>
          <w:rFonts w:ascii="Times New Roman" w:hAnsi="Times New Roman" w:cs="Times New Roman"/>
          <w:color w:val="000000" w:themeColor="text1"/>
        </w:rPr>
      </w:pPr>
      <w:r w:rsidRPr="00481999">
        <w:rPr>
          <w:rFonts w:ascii="Times New Roman" w:hAnsi="Times New Roman" w:cs="Times New Roman"/>
          <w:color w:val="000000" w:themeColor="text1"/>
        </w:rPr>
        <w:t>Archaic-segment similarity shows broad population structure</w:t>
      </w:r>
    </w:p>
    <w:p w14:paraId="21D27045" w14:textId="77777777" w:rsidR="001D3229" w:rsidRPr="00481999" w:rsidRDefault="00000000">
      <w:pPr>
        <w:ind w:firstLine="432"/>
        <w:rPr>
          <w:rFonts w:cs="Times New Roman"/>
          <w:color w:val="000000" w:themeColor="text1"/>
        </w:rPr>
      </w:pPr>
      <w:r w:rsidRPr="00481999">
        <w:rPr>
          <w:rFonts w:cs="Times New Roman"/>
          <w:color w:val="000000" w:themeColor="text1"/>
        </w:rPr>
        <w:t xml:space="preserve">After quality filtering, the analysis retained 66 populations, 3,134 individuals, and all 2,145 unique population pairs. Collapsing fragmented segments at the individual-haplotype-window level ensured that no population-window frequency exceeded 1 in either ancestry category. Profile similarity declined steadily with geographic separation for both ancestries (raw r=-0.497 for Neanderthal and -0.462 for Denisovan profiles; Figure 2), and the decline persisted after the coarse continent, dataset, and recent-admixture indicators were added, with partial distance correlations of -0.369 and -0.326. Distance </w:t>
      </w:r>
      <w:r w:rsidRPr="00481999">
        <w:rPr>
          <w:rFonts w:cs="Times New Roman"/>
          <w:color w:val="000000" w:themeColor="text1"/>
        </w:rPr>
        <w:lastRenderedPageBreak/>
        <w:t xml:space="preserve">alone accounted for R-squared values of 0.247 and 0.213 in the observed matrix, rising to 0.546 and 0.511 in the expanded descriptive models. Under 9,999 joint population-label permutations, which preserve the recurrence of each population across pairs, the distance coefficients per 1,000 km were -0.01892 (P=0.0001) and -0.01918 (P=0.0002). The similarity matrices themselves are </w:t>
      </w:r>
      <w:proofErr w:type="spellStart"/>
      <w:r w:rsidRPr="00481999">
        <w:rPr>
          <w:rFonts w:cs="Times New Roman"/>
          <w:color w:val="000000" w:themeColor="text1"/>
        </w:rPr>
        <w:t>organised</w:t>
      </w:r>
      <w:proofErr w:type="spellEnd"/>
      <w:r w:rsidRPr="00481999">
        <w:rPr>
          <w:rFonts w:cs="Times New Roman"/>
          <w:color w:val="000000" w:themeColor="text1"/>
        </w:rPr>
        <w:t xml:space="preserve"> into broad regional blocks, with a stronger Oceanian contrast in the Denisovan profile (Figure 3); the complete 66-population matrices are given as Figure S1. Population-wide structure is thus a large and highly reproducible feature of </w:t>
      </w:r>
      <w:proofErr w:type="gramStart"/>
      <w:r w:rsidRPr="00481999">
        <w:rPr>
          <w:rFonts w:cs="Times New Roman"/>
          <w:color w:val="000000" w:themeColor="text1"/>
        </w:rPr>
        <w:t>these</w:t>
      </w:r>
      <w:proofErr w:type="gramEnd"/>
      <w:r w:rsidRPr="00481999">
        <w:rPr>
          <w:rFonts w:cs="Times New Roman"/>
          <w:color w:val="000000" w:themeColor="text1"/>
        </w:rPr>
        <w:t xml:space="preserve"> data, and it is this structure that sets the expectation for any individual pair.</w:t>
      </w:r>
    </w:p>
    <w:p w14:paraId="2129BCDE" w14:textId="77777777" w:rsidR="001D3229" w:rsidRPr="00481999" w:rsidRDefault="00000000">
      <w:pPr>
        <w:spacing w:before="320"/>
        <w:jc w:val="center"/>
        <w:rPr>
          <w:rFonts w:cs="Times New Roman"/>
          <w:color w:val="000000" w:themeColor="text1"/>
        </w:rPr>
      </w:pPr>
      <w:r w:rsidRPr="00481999">
        <w:rPr>
          <w:rFonts w:cs="Times New Roman"/>
          <w:noProof/>
          <w:color w:val="000000" w:themeColor="text1"/>
        </w:rPr>
        <w:drawing>
          <wp:inline distT="0" distB="0" distL="0" distR="0" wp14:anchorId="7C6DB2ED" wp14:editId="17763A37">
            <wp:extent cx="5806440" cy="27145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haring_vs_distance.png"/>
                    <pic:cNvPicPr/>
                  </pic:nvPicPr>
                  <pic:blipFill>
                    <a:blip r:embed="rId10"/>
                    <a:stretch>
                      <a:fillRect/>
                    </a:stretch>
                  </pic:blipFill>
                  <pic:spPr>
                    <a:xfrm>
                      <a:off x="0" y="0"/>
                      <a:ext cx="5806440" cy="2714541"/>
                    </a:xfrm>
                    <a:prstGeom prst="rect">
                      <a:avLst/>
                    </a:prstGeom>
                  </pic:spPr>
                </pic:pic>
              </a:graphicData>
            </a:graphic>
          </wp:inline>
        </w:drawing>
      </w:r>
    </w:p>
    <w:p w14:paraId="593F5428" w14:textId="77777777" w:rsidR="001D3229" w:rsidRPr="00481999" w:rsidRDefault="00000000">
      <w:pPr>
        <w:spacing w:before="200" w:line="276" w:lineRule="auto"/>
        <w:rPr>
          <w:rFonts w:cs="Times New Roman"/>
          <w:color w:val="000000" w:themeColor="text1"/>
          <w:sz w:val="20"/>
          <w:szCs w:val="20"/>
        </w:rPr>
      </w:pPr>
      <w:r w:rsidRPr="00481999">
        <w:rPr>
          <w:rFonts w:cs="Times New Roman"/>
          <w:b/>
          <w:color w:val="000000" w:themeColor="text1"/>
          <w:sz w:val="20"/>
          <w:szCs w:val="20"/>
        </w:rPr>
        <w:lastRenderedPageBreak/>
        <w:t xml:space="preserve">Figure 2. </w:t>
      </w:r>
      <w:r w:rsidRPr="00481999">
        <w:rPr>
          <w:rFonts w:cs="Times New Roman"/>
          <w:color w:val="000000" w:themeColor="text1"/>
          <w:sz w:val="20"/>
          <w:szCs w:val="20"/>
        </w:rPr>
        <w:t xml:space="preserve">Archaic-segment profile similarity against geographic distance. Each point is one population pair; pairs sharing a population are not independent. Lines are descriptive distance-only </w:t>
      </w:r>
      <w:proofErr w:type="gramStart"/>
      <w:r w:rsidRPr="00481999">
        <w:rPr>
          <w:rFonts w:cs="Times New Roman"/>
          <w:color w:val="000000" w:themeColor="text1"/>
          <w:sz w:val="20"/>
          <w:szCs w:val="20"/>
        </w:rPr>
        <w:t>fits, and</w:t>
      </w:r>
      <w:proofErr w:type="gramEnd"/>
      <w:r w:rsidRPr="00481999">
        <w:rPr>
          <w:rFonts w:cs="Times New Roman"/>
          <w:color w:val="000000" w:themeColor="text1"/>
          <w:sz w:val="20"/>
          <w:szCs w:val="20"/>
        </w:rPr>
        <w:t xml:space="preserve"> reported P values come from population-label QAP permutations.</w:t>
      </w:r>
    </w:p>
    <w:p w14:paraId="6D8C759E" w14:textId="77777777" w:rsidR="001D3229" w:rsidRPr="00481999" w:rsidRDefault="00000000">
      <w:pPr>
        <w:spacing w:before="320"/>
        <w:jc w:val="center"/>
        <w:rPr>
          <w:rFonts w:cs="Times New Roman"/>
          <w:color w:val="000000" w:themeColor="text1"/>
        </w:rPr>
      </w:pPr>
      <w:r w:rsidRPr="00481999">
        <w:rPr>
          <w:rFonts w:cs="Times New Roman"/>
          <w:noProof/>
          <w:color w:val="000000" w:themeColor="text1"/>
        </w:rPr>
        <w:drawing>
          <wp:inline distT="0" distB="0" distL="0" distR="0" wp14:anchorId="2DA41D3C" wp14:editId="0C0244B1">
            <wp:extent cx="5806440" cy="26957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haring_heatmap.png"/>
                    <pic:cNvPicPr/>
                  </pic:nvPicPr>
                  <pic:blipFill>
                    <a:blip r:embed="rId11"/>
                    <a:stretch>
                      <a:fillRect/>
                    </a:stretch>
                  </pic:blipFill>
                  <pic:spPr>
                    <a:xfrm>
                      <a:off x="0" y="0"/>
                      <a:ext cx="5806440" cy="2695784"/>
                    </a:xfrm>
                    <a:prstGeom prst="rect">
                      <a:avLst/>
                    </a:prstGeom>
                  </pic:spPr>
                </pic:pic>
              </a:graphicData>
            </a:graphic>
          </wp:inline>
        </w:drawing>
      </w:r>
    </w:p>
    <w:p w14:paraId="40892E9A" w14:textId="77777777" w:rsidR="001D3229" w:rsidRPr="00481999" w:rsidRDefault="00000000">
      <w:pPr>
        <w:spacing w:before="200" w:line="276" w:lineRule="auto"/>
        <w:rPr>
          <w:rFonts w:cs="Times New Roman"/>
          <w:color w:val="000000" w:themeColor="text1"/>
          <w:sz w:val="20"/>
          <w:szCs w:val="20"/>
        </w:rPr>
      </w:pPr>
      <w:r w:rsidRPr="00481999">
        <w:rPr>
          <w:rFonts w:cs="Times New Roman"/>
          <w:b/>
          <w:color w:val="000000" w:themeColor="text1"/>
          <w:sz w:val="20"/>
          <w:szCs w:val="20"/>
        </w:rPr>
        <w:t xml:space="preserve">Figure 3. </w:t>
      </w:r>
      <w:r w:rsidRPr="00481999">
        <w:rPr>
          <w:rFonts w:cs="Times New Roman"/>
          <w:color w:val="000000" w:themeColor="text1"/>
          <w:sz w:val="20"/>
          <w:szCs w:val="20"/>
        </w:rPr>
        <w:t xml:space="preserve">Population-wide similarity structure. Pairwise archaic-segment profile similarity for 31 populations selected for visual legibility and ordered by geographic region; all 66 populations were </w:t>
      </w:r>
      <w:proofErr w:type="spellStart"/>
      <w:r w:rsidRPr="00481999">
        <w:rPr>
          <w:rFonts w:cs="Times New Roman"/>
          <w:color w:val="000000" w:themeColor="text1"/>
          <w:sz w:val="20"/>
          <w:szCs w:val="20"/>
        </w:rPr>
        <w:t>analysed</w:t>
      </w:r>
      <w:proofErr w:type="spellEnd"/>
      <w:r w:rsidRPr="00481999">
        <w:rPr>
          <w:rFonts w:cs="Times New Roman"/>
          <w:color w:val="000000" w:themeColor="text1"/>
          <w:sz w:val="20"/>
          <w:szCs w:val="20"/>
        </w:rPr>
        <w:t xml:space="preserve"> (Figure S1).</w:t>
      </w:r>
    </w:p>
    <w:p w14:paraId="69CD9BB1" w14:textId="77777777" w:rsidR="001D3229" w:rsidRPr="00481999" w:rsidRDefault="00000000">
      <w:pPr>
        <w:pStyle w:val="21"/>
        <w:rPr>
          <w:rFonts w:ascii="Times New Roman" w:hAnsi="Times New Roman" w:cs="Times New Roman"/>
          <w:color w:val="000000" w:themeColor="text1"/>
        </w:rPr>
      </w:pPr>
      <w:r w:rsidRPr="00481999">
        <w:rPr>
          <w:rFonts w:ascii="Times New Roman" w:hAnsi="Times New Roman" w:cs="Times New Roman"/>
          <w:color w:val="000000" w:themeColor="text1"/>
        </w:rPr>
        <w:t>No population pair exceeds the structural expectation after multiplicity control</w:t>
      </w:r>
    </w:p>
    <w:p w14:paraId="0FDAB5A9" w14:textId="77777777" w:rsidR="001D3229" w:rsidRPr="00481999" w:rsidRDefault="00000000">
      <w:pPr>
        <w:ind w:firstLine="432"/>
        <w:rPr>
          <w:rFonts w:cs="Times New Roman"/>
          <w:color w:val="000000" w:themeColor="text1"/>
        </w:rPr>
      </w:pPr>
      <w:r w:rsidRPr="00481999">
        <w:rPr>
          <w:rFonts w:cs="Times New Roman"/>
          <w:color w:val="000000" w:themeColor="text1"/>
        </w:rPr>
        <w:t xml:space="preserve">Each pair was next compared with the similarity predicted for it by the population-wide model, and its </w:t>
      </w:r>
      <w:proofErr w:type="spellStart"/>
      <w:r w:rsidRPr="00481999">
        <w:rPr>
          <w:rFonts w:cs="Times New Roman"/>
          <w:color w:val="000000" w:themeColor="text1"/>
        </w:rPr>
        <w:t>standardised</w:t>
      </w:r>
      <w:proofErr w:type="spellEnd"/>
      <w:r w:rsidRPr="00481999">
        <w:rPr>
          <w:rFonts w:cs="Times New Roman"/>
          <w:color w:val="000000" w:themeColor="text1"/>
        </w:rPr>
        <w:t xml:space="preserve"> positive residual was referred to a null distribution generated by the same joint population-label permutation. Among the 1,891 pairs formed by the 62 populations remaining after the four designated recently admixed American populations were set aside, the largest positive residuals reached z=2.21 for Neanderthal and z=2.53 for Denisovan </w:t>
      </w:r>
      <w:r w:rsidRPr="00481999">
        <w:rPr>
          <w:rFonts w:cs="Times New Roman"/>
          <w:color w:val="000000" w:themeColor="text1"/>
        </w:rPr>
        <w:lastRenderedPageBreak/>
        <w:t>profiles, but the smallest Benjamini-Hochberg q values were 0.78 and 0.82 respectively. No pair met the prespecified joint criterion of a positive residual above two standard deviations and q&lt;0.10 for either ancestry (Figure 4; Table 1). Nominal residual ranks are retained in the full pairwise data table for auditability. This is a statement about excess similarity relative to the structural expectation, not about the existence of shared history: the pairs simply fall where population-wide structure places them.</w:t>
      </w:r>
    </w:p>
    <w:p w14:paraId="5477DE7F" w14:textId="77777777" w:rsidR="001D3229" w:rsidRPr="00481999" w:rsidRDefault="00000000">
      <w:pPr>
        <w:spacing w:before="320"/>
        <w:jc w:val="center"/>
        <w:rPr>
          <w:rFonts w:cs="Times New Roman"/>
          <w:color w:val="000000" w:themeColor="text1"/>
        </w:rPr>
      </w:pPr>
      <w:r w:rsidRPr="00481999">
        <w:rPr>
          <w:rFonts w:cs="Times New Roman"/>
          <w:noProof/>
          <w:color w:val="000000" w:themeColor="text1"/>
        </w:rPr>
        <w:drawing>
          <wp:inline distT="0" distB="0" distL="0" distR="0" wp14:anchorId="4E11EF20" wp14:editId="210F7AA4">
            <wp:extent cx="5806440" cy="24826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H4_residual_evidence.png"/>
                    <pic:cNvPicPr/>
                  </pic:nvPicPr>
                  <pic:blipFill>
                    <a:blip r:embed="rId12"/>
                    <a:stretch>
                      <a:fillRect/>
                    </a:stretch>
                  </pic:blipFill>
                  <pic:spPr>
                    <a:xfrm>
                      <a:off x="0" y="0"/>
                      <a:ext cx="5806440" cy="2482653"/>
                    </a:xfrm>
                    <a:prstGeom prst="rect">
                      <a:avLst/>
                    </a:prstGeom>
                  </pic:spPr>
                </pic:pic>
              </a:graphicData>
            </a:graphic>
          </wp:inline>
        </w:drawing>
      </w:r>
    </w:p>
    <w:p w14:paraId="159FA0A1" w14:textId="77777777" w:rsidR="001D3229" w:rsidRPr="00481999" w:rsidRDefault="00000000">
      <w:pPr>
        <w:spacing w:before="200" w:line="276" w:lineRule="auto"/>
        <w:rPr>
          <w:rFonts w:cs="Times New Roman"/>
          <w:color w:val="000000" w:themeColor="text1"/>
          <w:sz w:val="20"/>
          <w:szCs w:val="20"/>
        </w:rPr>
      </w:pPr>
      <w:r w:rsidRPr="00481999">
        <w:rPr>
          <w:rFonts w:cs="Times New Roman"/>
          <w:b/>
          <w:color w:val="000000" w:themeColor="text1"/>
          <w:sz w:val="20"/>
          <w:szCs w:val="20"/>
        </w:rPr>
        <w:t xml:space="preserve">Figure 4. </w:t>
      </w:r>
      <w:r w:rsidRPr="00481999">
        <w:rPr>
          <w:rFonts w:cs="Times New Roman"/>
          <w:color w:val="000000" w:themeColor="text1"/>
          <w:sz w:val="20"/>
          <w:szCs w:val="20"/>
        </w:rPr>
        <w:t xml:space="preserve">Pair-specific evidence against the structural expectation. For each non-admixed population pair, the </w:t>
      </w:r>
      <w:proofErr w:type="spellStart"/>
      <w:r w:rsidRPr="00481999">
        <w:rPr>
          <w:rFonts w:cs="Times New Roman"/>
          <w:color w:val="000000" w:themeColor="text1"/>
          <w:sz w:val="20"/>
          <w:szCs w:val="20"/>
        </w:rPr>
        <w:t>standardised</w:t>
      </w:r>
      <w:proofErr w:type="spellEnd"/>
      <w:r w:rsidRPr="00481999">
        <w:rPr>
          <w:rFonts w:cs="Times New Roman"/>
          <w:color w:val="000000" w:themeColor="text1"/>
          <w:sz w:val="20"/>
          <w:szCs w:val="20"/>
        </w:rPr>
        <w:t xml:space="preserve"> positive residual from the population-wide model is plotted against its Benjamini-Hochberg q value. The shaded region marks the prespecified support criterion (z&gt;2 and q&lt;0.10), which contains no pair for either ancestry.</w:t>
      </w:r>
    </w:p>
    <w:p w14:paraId="27E208F2" w14:textId="77777777" w:rsidR="001D3229" w:rsidRPr="00481999" w:rsidRDefault="00000000">
      <w:pPr>
        <w:spacing w:before="280"/>
        <w:rPr>
          <w:rFonts w:cs="Times New Roman"/>
          <w:color w:val="000000" w:themeColor="text1"/>
        </w:rPr>
      </w:pPr>
      <w:r w:rsidRPr="00481999">
        <w:rPr>
          <w:rFonts w:cs="Times New Roman"/>
          <w:b/>
          <w:color w:val="000000" w:themeColor="text1"/>
        </w:rPr>
        <w:t>Table 1. Positive-residual archaic pairs after false discovery rate control</w:t>
      </w:r>
    </w:p>
    <w:tbl>
      <w:tblPr>
        <w:tblStyle w:val="afe"/>
        <w:tblW w:w="0" w:type="auto"/>
        <w:tblLook w:val="04A0" w:firstRow="1" w:lastRow="0" w:firstColumn="1" w:lastColumn="0" w:noHBand="0" w:noVBand="1"/>
      </w:tblPr>
      <w:tblGrid>
        <w:gridCol w:w="963"/>
        <w:gridCol w:w="1010"/>
        <w:gridCol w:w="1010"/>
        <w:gridCol w:w="963"/>
        <w:gridCol w:w="963"/>
        <w:gridCol w:w="963"/>
        <w:gridCol w:w="963"/>
        <w:gridCol w:w="963"/>
      </w:tblGrid>
      <w:tr w:rsidR="001D3229" w:rsidRPr="00481999" w14:paraId="7170CBD7" w14:textId="77777777">
        <w:tc>
          <w:tcPr>
            <w:tcW w:w="963" w:type="dxa"/>
            <w:shd w:val="clear" w:color="auto" w:fill="D9EAF7"/>
          </w:tcPr>
          <w:p w14:paraId="257DF831" w14:textId="77777777" w:rsidR="001D3229" w:rsidRPr="00481999" w:rsidRDefault="00000000">
            <w:pPr>
              <w:spacing w:line="240" w:lineRule="auto"/>
              <w:rPr>
                <w:rFonts w:cs="Times New Roman"/>
                <w:color w:val="000000" w:themeColor="text1"/>
              </w:rPr>
            </w:pPr>
            <w:r w:rsidRPr="00481999">
              <w:rPr>
                <w:rFonts w:cs="Times New Roman"/>
                <w:b/>
                <w:color w:val="000000" w:themeColor="text1"/>
                <w:sz w:val="17"/>
              </w:rPr>
              <w:t>Ancestry</w:t>
            </w:r>
          </w:p>
        </w:tc>
        <w:tc>
          <w:tcPr>
            <w:tcW w:w="963" w:type="dxa"/>
            <w:shd w:val="clear" w:color="auto" w:fill="D9EAF7"/>
          </w:tcPr>
          <w:p w14:paraId="6CA74631" w14:textId="77777777" w:rsidR="001D3229" w:rsidRPr="00481999" w:rsidRDefault="00000000">
            <w:pPr>
              <w:spacing w:line="240" w:lineRule="auto"/>
              <w:rPr>
                <w:rFonts w:cs="Times New Roman"/>
                <w:color w:val="000000" w:themeColor="text1"/>
              </w:rPr>
            </w:pPr>
            <w:r w:rsidRPr="00481999">
              <w:rPr>
                <w:rFonts w:cs="Times New Roman"/>
                <w:b/>
                <w:color w:val="000000" w:themeColor="text1"/>
                <w:sz w:val="17"/>
              </w:rPr>
              <w:t>Population 1</w:t>
            </w:r>
          </w:p>
        </w:tc>
        <w:tc>
          <w:tcPr>
            <w:tcW w:w="963" w:type="dxa"/>
            <w:shd w:val="clear" w:color="auto" w:fill="D9EAF7"/>
          </w:tcPr>
          <w:p w14:paraId="683CB032" w14:textId="77777777" w:rsidR="001D3229" w:rsidRPr="00481999" w:rsidRDefault="00000000">
            <w:pPr>
              <w:spacing w:line="240" w:lineRule="auto"/>
              <w:rPr>
                <w:rFonts w:cs="Times New Roman"/>
                <w:color w:val="000000" w:themeColor="text1"/>
              </w:rPr>
            </w:pPr>
            <w:r w:rsidRPr="00481999">
              <w:rPr>
                <w:rFonts w:cs="Times New Roman"/>
                <w:b/>
                <w:color w:val="000000" w:themeColor="text1"/>
                <w:sz w:val="17"/>
              </w:rPr>
              <w:t>Population 2</w:t>
            </w:r>
          </w:p>
        </w:tc>
        <w:tc>
          <w:tcPr>
            <w:tcW w:w="963" w:type="dxa"/>
            <w:shd w:val="clear" w:color="auto" w:fill="D9EAF7"/>
          </w:tcPr>
          <w:p w14:paraId="7B406BAA" w14:textId="77777777" w:rsidR="001D3229" w:rsidRPr="00481999" w:rsidRDefault="00000000">
            <w:pPr>
              <w:spacing w:line="240" w:lineRule="auto"/>
              <w:rPr>
                <w:rFonts w:cs="Times New Roman"/>
                <w:color w:val="000000" w:themeColor="text1"/>
              </w:rPr>
            </w:pPr>
            <w:r w:rsidRPr="00481999">
              <w:rPr>
                <w:rFonts w:cs="Times New Roman"/>
                <w:b/>
                <w:color w:val="000000" w:themeColor="text1"/>
                <w:sz w:val="17"/>
              </w:rPr>
              <w:t>Region 1</w:t>
            </w:r>
          </w:p>
        </w:tc>
        <w:tc>
          <w:tcPr>
            <w:tcW w:w="963" w:type="dxa"/>
            <w:shd w:val="clear" w:color="auto" w:fill="D9EAF7"/>
          </w:tcPr>
          <w:p w14:paraId="716F6279" w14:textId="77777777" w:rsidR="001D3229" w:rsidRPr="00481999" w:rsidRDefault="00000000">
            <w:pPr>
              <w:spacing w:line="240" w:lineRule="auto"/>
              <w:rPr>
                <w:rFonts w:cs="Times New Roman"/>
                <w:color w:val="000000" w:themeColor="text1"/>
              </w:rPr>
            </w:pPr>
            <w:r w:rsidRPr="00481999">
              <w:rPr>
                <w:rFonts w:cs="Times New Roman"/>
                <w:b/>
                <w:color w:val="000000" w:themeColor="text1"/>
                <w:sz w:val="17"/>
              </w:rPr>
              <w:t>Region 2</w:t>
            </w:r>
          </w:p>
        </w:tc>
        <w:tc>
          <w:tcPr>
            <w:tcW w:w="963" w:type="dxa"/>
            <w:shd w:val="clear" w:color="auto" w:fill="D9EAF7"/>
          </w:tcPr>
          <w:p w14:paraId="5921B6C3" w14:textId="77777777" w:rsidR="001D3229" w:rsidRPr="00481999" w:rsidRDefault="00000000">
            <w:pPr>
              <w:spacing w:line="240" w:lineRule="auto"/>
              <w:rPr>
                <w:rFonts w:cs="Times New Roman"/>
                <w:color w:val="000000" w:themeColor="text1"/>
              </w:rPr>
            </w:pPr>
            <w:r w:rsidRPr="00481999">
              <w:rPr>
                <w:rFonts w:cs="Times New Roman"/>
                <w:b/>
                <w:color w:val="000000" w:themeColor="text1"/>
                <w:sz w:val="17"/>
              </w:rPr>
              <w:t>Distance (km)</w:t>
            </w:r>
          </w:p>
        </w:tc>
        <w:tc>
          <w:tcPr>
            <w:tcW w:w="963" w:type="dxa"/>
            <w:shd w:val="clear" w:color="auto" w:fill="D9EAF7"/>
          </w:tcPr>
          <w:p w14:paraId="7D6D4BF3" w14:textId="77777777" w:rsidR="001D3229" w:rsidRPr="00481999" w:rsidRDefault="00000000">
            <w:pPr>
              <w:spacing w:line="240" w:lineRule="auto"/>
              <w:rPr>
                <w:rFonts w:cs="Times New Roman"/>
                <w:color w:val="000000" w:themeColor="text1"/>
              </w:rPr>
            </w:pPr>
            <w:r w:rsidRPr="00481999">
              <w:rPr>
                <w:rFonts w:cs="Times New Roman"/>
                <w:b/>
                <w:color w:val="000000" w:themeColor="text1"/>
                <w:sz w:val="17"/>
              </w:rPr>
              <w:t>Sharing (r)</w:t>
            </w:r>
          </w:p>
        </w:tc>
        <w:tc>
          <w:tcPr>
            <w:tcW w:w="963" w:type="dxa"/>
            <w:shd w:val="clear" w:color="auto" w:fill="D9EAF7"/>
          </w:tcPr>
          <w:p w14:paraId="6507A5CE" w14:textId="77777777" w:rsidR="001D3229" w:rsidRPr="00481999" w:rsidRDefault="00000000">
            <w:pPr>
              <w:spacing w:line="240" w:lineRule="auto"/>
              <w:rPr>
                <w:rFonts w:cs="Times New Roman"/>
                <w:color w:val="000000" w:themeColor="text1"/>
              </w:rPr>
            </w:pPr>
            <w:r w:rsidRPr="00481999">
              <w:rPr>
                <w:rFonts w:cs="Times New Roman"/>
                <w:b/>
                <w:color w:val="000000" w:themeColor="text1"/>
                <w:sz w:val="17"/>
              </w:rPr>
              <w:t>z-score</w:t>
            </w:r>
          </w:p>
        </w:tc>
      </w:tr>
      <w:tr w:rsidR="001D3229" w:rsidRPr="00481999" w14:paraId="769727BC" w14:textId="77777777">
        <w:tc>
          <w:tcPr>
            <w:tcW w:w="963" w:type="dxa"/>
          </w:tcPr>
          <w:p w14:paraId="0F48E88D" w14:textId="77777777" w:rsidR="001D3229" w:rsidRPr="00481999" w:rsidRDefault="00000000">
            <w:pPr>
              <w:spacing w:line="240" w:lineRule="auto"/>
              <w:rPr>
                <w:rFonts w:cs="Times New Roman"/>
                <w:color w:val="000000" w:themeColor="text1"/>
              </w:rPr>
            </w:pPr>
            <w:r w:rsidRPr="00481999">
              <w:rPr>
                <w:rFonts w:cs="Times New Roman"/>
                <w:color w:val="000000" w:themeColor="text1"/>
                <w:sz w:val="17"/>
              </w:rPr>
              <w:t>—</w:t>
            </w:r>
          </w:p>
        </w:tc>
        <w:tc>
          <w:tcPr>
            <w:tcW w:w="963" w:type="dxa"/>
          </w:tcPr>
          <w:p w14:paraId="7B0E1CFF" w14:textId="77777777" w:rsidR="001D3229" w:rsidRPr="00481999" w:rsidRDefault="00000000">
            <w:pPr>
              <w:spacing w:line="240" w:lineRule="auto"/>
              <w:rPr>
                <w:rFonts w:cs="Times New Roman"/>
                <w:color w:val="000000" w:themeColor="text1"/>
              </w:rPr>
            </w:pPr>
            <w:r w:rsidRPr="00481999">
              <w:rPr>
                <w:rFonts w:cs="Times New Roman"/>
                <w:color w:val="000000" w:themeColor="text1"/>
                <w:sz w:val="17"/>
              </w:rPr>
              <w:t xml:space="preserve">No qualifying </w:t>
            </w:r>
            <w:r w:rsidRPr="00481999">
              <w:rPr>
                <w:rFonts w:cs="Times New Roman"/>
                <w:color w:val="000000" w:themeColor="text1"/>
                <w:sz w:val="17"/>
              </w:rPr>
              <w:lastRenderedPageBreak/>
              <w:t>pair</w:t>
            </w:r>
          </w:p>
        </w:tc>
        <w:tc>
          <w:tcPr>
            <w:tcW w:w="963" w:type="dxa"/>
          </w:tcPr>
          <w:p w14:paraId="677B502E" w14:textId="77777777" w:rsidR="001D3229" w:rsidRPr="00481999" w:rsidRDefault="00000000">
            <w:pPr>
              <w:spacing w:line="240" w:lineRule="auto"/>
              <w:rPr>
                <w:rFonts w:cs="Times New Roman"/>
                <w:color w:val="000000" w:themeColor="text1"/>
              </w:rPr>
            </w:pPr>
            <w:r w:rsidRPr="00481999">
              <w:rPr>
                <w:rFonts w:cs="Times New Roman"/>
                <w:color w:val="000000" w:themeColor="text1"/>
                <w:sz w:val="17"/>
              </w:rPr>
              <w:lastRenderedPageBreak/>
              <w:t>—</w:t>
            </w:r>
          </w:p>
        </w:tc>
        <w:tc>
          <w:tcPr>
            <w:tcW w:w="963" w:type="dxa"/>
          </w:tcPr>
          <w:p w14:paraId="00BFE422" w14:textId="77777777" w:rsidR="001D3229" w:rsidRPr="00481999" w:rsidRDefault="00000000">
            <w:pPr>
              <w:spacing w:line="240" w:lineRule="auto"/>
              <w:rPr>
                <w:rFonts w:cs="Times New Roman"/>
                <w:color w:val="000000" w:themeColor="text1"/>
              </w:rPr>
            </w:pPr>
            <w:r w:rsidRPr="00481999">
              <w:rPr>
                <w:rFonts w:cs="Times New Roman"/>
                <w:color w:val="000000" w:themeColor="text1"/>
                <w:sz w:val="17"/>
              </w:rPr>
              <w:t>—</w:t>
            </w:r>
          </w:p>
        </w:tc>
        <w:tc>
          <w:tcPr>
            <w:tcW w:w="963" w:type="dxa"/>
          </w:tcPr>
          <w:p w14:paraId="5C9FA3A6" w14:textId="77777777" w:rsidR="001D3229" w:rsidRPr="00481999" w:rsidRDefault="00000000">
            <w:pPr>
              <w:spacing w:line="240" w:lineRule="auto"/>
              <w:rPr>
                <w:rFonts w:cs="Times New Roman"/>
                <w:color w:val="000000" w:themeColor="text1"/>
              </w:rPr>
            </w:pPr>
            <w:r w:rsidRPr="00481999">
              <w:rPr>
                <w:rFonts w:cs="Times New Roman"/>
                <w:color w:val="000000" w:themeColor="text1"/>
                <w:sz w:val="17"/>
              </w:rPr>
              <w:t>—</w:t>
            </w:r>
          </w:p>
        </w:tc>
        <w:tc>
          <w:tcPr>
            <w:tcW w:w="963" w:type="dxa"/>
          </w:tcPr>
          <w:p w14:paraId="7355F317" w14:textId="77777777" w:rsidR="001D3229" w:rsidRPr="00481999" w:rsidRDefault="00000000">
            <w:pPr>
              <w:spacing w:line="240" w:lineRule="auto"/>
              <w:rPr>
                <w:rFonts w:cs="Times New Roman"/>
                <w:color w:val="000000" w:themeColor="text1"/>
              </w:rPr>
            </w:pPr>
            <w:r w:rsidRPr="00481999">
              <w:rPr>
                <w:rFonts w:cs="Times New Roman"/>
                <w:color w:val="000000" w:themeColor="text1"/>
                <w:sz w:val="17"/>
              </w:rPr>
              <w:t>—</w:t>
            </w:r>
          </w:p>
        </w:tc>
        <w:tc>
          <w:tcPr>
            <w:tcW w:w="963" w:type="dxa"/>
          </w:tcPr>
          <w:p w14:paraId="435BB237" w14:textId="77777777" w:rsidR="001D3229" w:rsidRPr="00481999" w:rsidRDefault="00000000">
            <w:pPr>
              <w:spacing w:line="240" w:lineRule="auto"/>
              <w:rPr>
                <w:rFonts w:cs="Times New Roman"/>
                <w:color w:val="000000" w:themeColor="text1"/>
              </w:rPr>
            </w:pPr>
            <w:r w:rsidRPr="00481999">
              <w:rPr>
                <w:rFonts w:cs="Times New Roman"/>
                <w:color w:val="000000" w:themeColor="text1"/>
                <w:sz w:val="17"/>
              </w:rPr>
              <w:t>—</w:t>
            </w:r>
          </w:p>
        </w:tc>
        <w:tc>
          <w:tcPr>
            <w:tcW w:w="963" w:type="dxa"/>
          </w:tcPr>
          <w:p w14:paraId="2FD0C15F" w14:textId="77777777" w:rsidR="001D3229" w:rsidRPr="00481999" w:rsidRDefault="00000000">
            <w:pPr>
              <w:spacing w:line="240" w:lineRule="auto"/>
              <w:rPr>
                <w:rFonts w:cs="Times New Roman"/>
                <w:color w:val="000000" w:themeColor="text1"/>
              </w:rPr>
            </w:pPr>
            <w:r w:rsidRPr="00481999">
              <w:rPr>
                <w:rFonts w:cs="Times New Roman"/>
                <w:color w:val="000000" w:themeColor="text1"/>
                <w:sz w:val="17"/>
              </w:rPr>
              <w:t xml:space="preserve">No z&gt;2 and </w:t>
            </w:r>
            <w:r w:rsidRPr="00481999">
              <w:rPr>
                <w:rFonts w:cs="Times New Roman"/>
                <w:color w:val="000000" w:themeColor="text1"/>
                <w:sz w:val="17"/>
              </w:rPr>
              <w:lastRenderedPageBreak/>
              <w:t>q&lt;0.10 result for either ancestry</w:t>
            </w:r>
          </w:p>
        </w:tc>
      </w:tr>
    </w:tbl>
    <w:p w14:paraId="1FDC496A" w14:textId="77777777" w:rsidR="001D3229" w:rsidRPr="00481999" w:rsidRDefault="00000000">
      <w:pPr>
        <w:spacing w:line="240" w:lineRule="auto"/>
        <w:rPr>
          <w:rFonts w:cs="Times New Roman"/>
          <w:color w:val="000000" w:themeColor="text1"/>
        </w:rPr>
      </w:pPr>
      <w:r w:rsidRPr="00481999">
        <w:rPr>
          <w:rFonts w:cs="Times New Roman"/>
          <w:color w:val="000000" w:themeColor="text1"/>
          <w:sz w:val="18"/>
        </w:rPr>
        <w:t>Note. The prespecified family contains all non-admixed population pairs. A supported positive outlier required z&gt;2 and Benjamini-Hochberg q&lt;0.10 for Neanderthal or Denisovan ancestry; complete nominal rankings and dependence-aware model results are provided in Supplementary Data.</w:t>
      </w:r>
    </w:p>
    <w:p w14:paraId="60F9338F" w14:textId="77777777" w:rsidR="001D3229" w:rsidRPr="00481999" w:rsidRDefault="00000000">
      <w:pPr>
        <w:pStyle w:val="21"/>
        <w:rPr>
          <w:rFonts w:ascii="Times New Roman" w:hAnsi="Times New Roman" w:cs="Times New Roman"/>
          <w:color w:val="000000" w:themeColor="text1"/>
        </w:rPr>
      </w:pPr>
      <w:r w:rsidRPr="00481999">
        <w:rPr>
          <w:rFonts w:ascii="Times New Roman" w:hAnsi="Times New Roman" w:cs="Times New Roman"/>
          <w:color w:val="000000" w:themeColor="text1"/>
        </w:rPr>
        <w:t>Population-wide structure is robust to analytical choices</w:t>
      </w:r>
    </w:p>
    <w:p w14:paraId="533BDCCD" w14:textId="77777777" w:rsidR="001D3229" w:rsidRPr="00481999" w:rsidRDefault="00000000">
      <w:pPr>
        <w:ind w:firstLine="432"/>
        <w:rPr>
          <w:rFonts w:cs="Times New Roman"/>
          <w:color w:val="000000" w:themeColor="text1"/>
        </w:rPr>
      </w:pPr>
      <w:r w:rsidRPr="00481999">
        <w:rPr>
          <w:rFonts w:cs="Times New Roman"/>
          <w:color w:val="000000" w:themeColor="text1"/>
        </w:rPr>
        <w:t xml:space="preserve">The distance association was reproduced under every variation we examined (Figure 5). It held at 250-kb, 500-kb, and 1-Mb window sizes; under Spearman, cosine, full-window Pearson, and presence-absence Jaccard similarity in place of Pearson correlation of the non-zero union; at minimum population sizes of 7, 10, 15, and 20; within the 1000 Genomes and HGDP subsets </w:t>
      </w:r>
      <w:proofErr w:type="spellStart"/>
      <w:r w:rsidRPr="00481999">
        <w:rPr>
          <w:rFonts w:cs="Times New Roman"/>
          <w:color w:val="000000" w:themeColor="text1"/>
        </w:rPr>
        <w:t>analysed</w:t>
      </w:r>
      <w:proofErr w:type="spellEnd"/>
      <w:r w:rsidRPr="00481999">
        <w:rPr>
          <w:rFonts w:cs="Times New Roman"/>
          <w:color w:val="000000" w:themeColor="text1"/>
        </w:rPr>
        <w:t xml:space="preserve"> separately; after excluding co-located population pairs; after excluding the designated recently admixed populations; and after omitting each geographic region in turn. Excluding recently admixed populations or omitting the Americas strengthened rather than weakened the association, as expected if recent mixture blurs an underlying geographic gradient. Detailed per-subset grids, including the coefficients and permutation P values from 999 permutations, are tabulated in Supplementary Data, and the effect of excluding recently admixed populations is shown separately as Figure S2 and the effect of changing window size as Figure S3. These analyses are robustness checks on one structural pattern rather than independent confirmatory tests.</w:t>
      </w:r>
    </w:p>
    <w:p w14:paraId="3A9274DF" w14:textId="77777777" w:rsidR="001D3229" w:rsidRPr="00481999" w:rsidRDefault="00000000">
      <w:pPr>
        <w:spacing w:before="320"/>
        <w:jc w:val="center"/>
        <w:rPr>
          <w:rFonts w:cs="Times New Roman"/>
          <w:color w:val="000000" w:themeColor="text1"/>
        </w:rPr>
      </w:pPr>
      <w:r w:rsidRPr="00481999">
        <w:rPr>
          <w:rFonts w:cs="Times New Roman"/>
          <w:noProof/>
          <w:color w:val="000000" w:themeColor="text1"/>
        </w:rPr>
        <w:lastRenderedPageBreak/>
        <w:drawing>
          <wp:inline distT="0" distB="0" distL="0" distR="0" wp14:anchorId="69E09B26" wp14:editId="68ACFC22">
            <wp:extent cx="5806440" cy="2417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H5_robustness_summary.png"/>
                    <pic:cNvPicPr/>
                  </pic:nvPicPr>
                  <pic:blipFill>
                    <a:blip r:embed="rId13"/>
                    <a:stretch>
                      <a:fillRect/>
                    </a:stretch>
                  </pic:blipFill>
                  <pic:spPr>
                    <a:xfrm>
                      <a:off x="0" y="0"/>
                      <a:ext cx="5806440" cy="2417213"/>
                    </a:xfrm>
                    <a:prstGeom prst="rect">
                      <a:avLst/>
                    </a:prstGeom>
                  </pic:spPr>
                </pic:pic>
              </a:graphicData>
            </a:graphic>
          </wp:inline>
        </w:drawing>
      </w:r>
    </w:p>
    <w:p w14:paraId="1F9A6508" w14:textId="77777777" w:rsidR="001D3229" w:rsidRPr="00481999" w:rsidRDefault="00000000">
      <w:pPr>
        <w:spacing w:before="200" w:line="276" w:lineRule="auto"/>
        <w:rPr>
          <w:rFonts w:cs="Times New Roman"/>
          <w:color w:val="000000" w:themeColor="text1"/>
          <w:sz w:val="20"/>
          <w:szCs w:val="20"/>
        </w:rPr>
      </w:pPr>
      <w:r w:rsidRPr="00481999">
        <w:rPr>
          <w:rFonts w:cs="Times New Roman"/>
          <w:b/>
          <w:color w:val="000000" w:themeColor="text1"/>
          <w:sz w:val="20"/>
          <w:szCs w:val="20"/>
        </w:rPr>
        <w:t xml:space="preserve">Figure 5. </w:t>
      </w:r>
      <w:r w:rsidRPr="00481999">
        <w:rPr>
          <w:rFonts w:cs="Times New Roman"/>
          <w:color w:val="000000" w:themeColor="text1"/>
          <w:sz w:val="20"/>
          <w:szCs w:val="20"/>
        </w:rPr>
        <w:t xml:space="preserve">Robustness of the population-wide distance association. (a) Population subsets, including dataset restrictions, minimum sample sizes, exclusion of recently admixed populations and co-located pairs, and omission of each region in turn. (b) Alternative similarity measures. (c) 250-kb, 500-kb, and 1-Mb window sizes. All panels </w:t>
      </w:r>
      <w:proofErr w:type="spellStart"/>
      <w:r w:rsidRPr="00481999">
        <w:rPr>
          <w:rFonts w:cs="Times New Roman"/>
          <w:color w:val="000000" w:themeColor="text1"/>
          <w:sz w:val="20"/>
          <w:szCs w:val="20"/>
        </w:rPr>
        <w:t>summarise</w:t>
      </w:r>
      <w:proofErr w:type="spellEnd"/>
      <w:r w:rsidRPr="00481999">
        <w:rPr>
          <w:rFonts w:cs="Times New Roman"/>
          <w:color w:val="000000" w:themeColor="text1"/>
          <w:sz w:val="20"/>
          <w:szCs w:val="20"/>
        </w:rPr>
        <w:t xml:space="preserve"> analyses reported in Supplementary Data; no additional hypothesis test is introduced.</w:t>
      </w:r>
    </w:p>
    <w:p w14:paraId="0122AB78" w14:textId="77777777" w:rsidR="001D3229" w:rsidRPr="00481999" w:rsidRDefault="00000000">
      <w:pPr>
        <w:pStyle w:val="21"/>
        <w:rPr>
          <w:rFonts w:ascii="Times New Roman" w:hAnsi="Times New Roman" w:cs="Times New Roman"/>
          <w:color w:val="000000" w:themeColor="text1"/>
        </w:rPr>
      </w:pPr>
      <w:r w:rsidRPr="00481999">
        <w:rPr>
          <w:rFonts w:ascii="Times New Roman" w:hAnsi="Times New Roman" w:cs="Times New Roman"/>
          <w:color w:val="000000" w:themeColor="text1"/>
        </w:rPr>
        <w:t>ABO does not exceed the genome-wide structural background</w:t>
      </w:r>
    </w:p>
    <w:p w14:paraId="2A18B99E" w14:textId="77777777" w:rsidR="001D3229" w:rsidRPr="00481999" w:rsidRDefault="00000000">
      <w:pPr>
        <w:ind w:firstLine="432"/>
        <w:rPr>
          <w:rFonts w:cs="Times New Roman"/>
          <w:color w:val="000000" w:themeColor="text1"/>
        </w:rPr>
      </w:pPr>
      <w:r w:rsidRPr="00481999">
        <w:rPr>
          <w:rFonts w:cs="Times New Roman"/>
          <w:color w:val="000000" w:themeColor="text1"/>
        </w:rPr>
        <w:t xml:space="preserve">As a worked example of a focal locus, the prespecified 500-kb interval </w:t>
      </w:r>
      <w:proofErr w:type="spellStart"/>
      <w:r w:rsidRPr="00481999">
        <w:rPr>
          <w:rFonts w:cs="Times New Roman"/>
          <w:color w:val="000000" w:themeColor="text1"/>
        </w:rPr>
        <w:t>centred</w:t>
      </w:r>
      <w:proofErr w:type="spellEnd"/>
      <w:r w:rsidRPr="00481999">
        <w:rPr>
          <w:rFonts w:cs="Times New Roman"/>
          <w:color w:val="000000" w:themeColor="text1"/>
        </w:rPr>
        <w:t xml:space="preserve"> on ABO contained 834 Neanderthal or Both source segments, of which 129 overlapped the ABO gene itself and 247 were tied for maximum reference similarity. In the Indigenous American HGDP subset, only two segments among 41 represented individuals fell in the interval. Judged against the genome-wide background, the ABO window is unremarkable: its strongest excess-similarity signal across the 1,891 non-admixed pairs reached z=1.78 for Neanderthal profiles, the 64th percentile of the 3,843 comparable windows (empirical P=0.36), and z=0.63 for Denisovan profiles, the 8th percentile of </w:t>
      </w:r>
      <w:r w:rsidRPr="00481999">
        <w:rPr>
          <w:rFonts w:cs="Times New Roman"/>
          <w:color w:val="000000" w:themeColor="text1"/>
        </w:rPr>
        <w:lastRenderedPageBreak/>
        <w:t>1,385 windows (empirical P=0.92). The ABO region therefore provides no evidence of an exceptional connection between any pair of populations. Segment-level compositions (Figure S4; Table S1), carrier and O2-allele summaries drawn from different sources (Figure S5), and ancient and modern window observations produced by different pipelines (Figure S6) are presented as Supplementary material and are not interpreted as regional proportions, association tests, formal temporal comparisons, or migration routes. A bivariate global map of mean Neanderthal and Denisovan segment coverage per population is provided for geographic context only (Figure S7).</w:t>
      </w:r>
    </w:p>
    <w:p w14:paraId="11959D85" w14:textId="77777777" w:rsidR="001D3229" w:rsidRPr="00481999" w:rsidRDefault="00000000">
      <w:pPr>
        <w:pStyle w:val="1"/>
        <w:rPr>
          <w:rFonts w:ascii="Times New Roman" w:hAnsi="Times New Roman" w:cs="Times New Roman"/>
          <w:color w:val="000000" w:themeColor="text1"/>
        </w:rPr>
      </w:pPr>
      <w:r w:rsidRPr="00481999">
        <w:rPr>
          <w:rFonts w:ascii="Times New Roman" w:hAnsi="Times New Roman" w:cs="Times New Roman"/>
          <w:color w:val="000000" w:themeColor="text1"/>
        </w:rPr>
        <w:t>Discussion</w:t>
      </w:r>
    </w:p>
    <w:p w14:paraId="33C8C25C" w14:textId="77777777" w:rsidR="001D3229" w:rsidRPr="00481999" w:rsidRDefault="00000000">
      <w:pPr>
        <w:ind w:firstLine="432"/>
        <w:rPr>
          <w:rFonts w:cs="Times New Roman"/>
          <w:color w:val="000000" w:themeColor="text1"/>
        </w:rPr>
      </w:pPr>
      <w:r w:rsidRPr="00481999">
        <w:rPr>
          <w:rFonts w:cs="Times New Roman"/>
          <w:color w:val="000000" w:themeColor="text1"/>
        </w:rPr>
        <w:t xml:space="preserve">Across a complete matrix of population comparisons, archaic-segment similarity is dominated by broad population structure, and once that structure is used to define the expectation for each pair, no pair stands out. The largest positive residuals are unremarkable once the number of pairs examined is </w:t>
      </w:r>
      <w:proofErr w:type="gramStart"/>
      <w:r w:rsidRPr="00481999">
        <w:rPr>
          <w:rFonts w:cs="Times New Roman"/>
          <w:color w:val="000000" w:themeColor="text1"/>
        </w:rPr>
        <w:t>taken into account</w:t>
      </w:r>
      <w:proofErr w:type="gramEnd"/>
      <w:r w:rsidRPr="00481999">
        <w:rPr>
          <w:rFonts w:cs="Times New Roman"/>
          <w:color w:val="000000" w:themeColor="text1"/>
        </w:rPr>
        <w:t xml:space="preserve">, and the prespecified ABO region behaves like the rest of the genome. The finding that matters is not the absence of outliers in </w:t>
      </w:r>
      <w:proofErr w:type="gramStart"/>
      <w:r w:rsidRPr="00481999">
        <w:rPr>
          <w:rFonts w:cs="Times New Roman"/>
          <w:color w:val="000000" w:themeColor="text1"/>
        </w:rPr>
        <w:t>these</w:t>
      </w:r>
      <w:proofErr w:type="gramEnd"/>
      <w:r w:rsidRPr="00481999">
        <w:rPr>
          <w:rFonts w:cs="Times New Roman"/>
          <w:color w:val="000000" w:themeColor="text1"/>
        </w:rPr>
        <w:t xml:space="preserve"> </w:t>
      </w:r>
      <w:proofErr w:type="gramStart"/>
      <w:r w:rsidRPr="00481999">
        <w:rPr>
          <w:rFonts w:cs="Times New Roman"/>
          <w:color w:val="000000" w:themeColor="text1"/>
        </w:rPr>
        <w:t>particular data</w:t>
      </w:r>
      <w:proofErr w:type="gramEnd"/>
      <w:r w:rsidRPr="00481999">
        <w:rPr>
          <w:rFonts w:cs="Times New Roman"/>
          <w:color w:val="000000" w:themeColor="text1"/>
        </w:rPr>
        <w:t xml:space="preserve"> but the demonstration that the expectation against which outliers are judged can be constructed, and that it is substantially different from the implicit expectation used when pairs are inspected one at a time.</w:t>
      </w:r>
    </w:p>
    <w:p w14:paraId="37D506BF" w14:textId="77777777" w:rsidR="001D3229" w:rsidRPr="00481999" w:rsidRDefault="00000000">
      <w:pPr>
        <w:ind w:firstLine="432"/>
        <w:rPr>
          <w:rFonts w:cs="Times New Roman"/>
          <w:color w:val="000000" w:themeColor="text1"/>
        </w:rPr>
      </w:pPr>
      <w:r w:rsidRPr="00481999">
        <w:rPr>
          <w:rFonts w:cs="Times New Roman"/>
          <w:color w:val="000000" w:themeColor="text1"/>
        </w:rPr>
        <w:lastRenderedPageBreak/>
        <w:t xml:space="preserve">That population structure can distort evolutionary inference is not a new observation. Unmodelled structure can generate spurious signals of population-size change and of admixture in model-based analyses of hominin history (Mazet et al. 2016; </w:t>
      </w:r>
      <w:proofErr w:type="spellStart"/>
      <w:r w:rsidRPr="00481999">
        <w:rPr>
          <w:rFonts w:cs="Times New Roman"/>
          <w:color w:val="000000" w:themeColor="text1"/>
        </w:rPr>
        <w:t>Tournebize</w:t>
      </w:r>
      <w:proofErr w:type="spellEnd"/>
      <w:r w:rsidRPr="00481999">
        <w:rPr>
          <w:rFonts w:cs="Times New Roman"/>
          <w:color w:val="000000" w:themeColor="text1"/>
        </w:rPr>
        <w:t xml:space="preserve"> and Chikhi 2025), and statistics computed between archaic and present-day samples are interpretable only within an assumed demographic context (Ortega-Del </w:t>
      </w:r>
      <w:proofErr w:type="spellStart"/>
      <w:r w:rsidRPr="00481999">
        <w:rPr>
          <w:rFonts w:cs="Times New Roman"/>
          <w:color w:val="000000" w:themeColor="text1"/>
        </w:rPr>
        <w:t>Vecchyo</w:t>
      </w:r>
      <w:proofErr w:type="spellEnd"/>
      <w:r w:rsidRPr="00481999">
        <w:rPr>
          <w:rFonts w:cs="Times New Roman"/>
          <w:color w:val="000000" w:themeColor="text1"/>
        </w:rPr>
        <w:t xml:space="preserve"> and Slatkin 2019). The contribution here lies elsewhere: it provides a way to evaluate pair-specific claims about genomic similarity against the relational structure of the full set of populations, under the dependence created by populations that recur across the pairwise matrix. Joint label permutation and matrix regression are long-established tools, and the structural insight about population structure is not ours; what is supplied is an explicit workflow in which pair-level residuals and multiplicity control make pairwise similarity claims testable.</w:t>
      </w:r>
    </w:p>
    <w:p w14:paraId="02709BE1" w14:textId="77777777" w:rsidR="001D3229" w:rsidRPr="00481999" w:rsidRDefault="00000000">
      <w:pPr>
        <w:ind w:firstLine="432"/>
        <w:rPr>
          <w:rFonts w:cs="Times New Roman"/>
          <w:color w:val="000000" w:themeColor="text1"/>
        </w:rPr>
      </w:pPr>
      <w:r w:rsidRPr="00481999">
        <w:rPr>
          <w:rFonts w:cs="Times New Roman"/>
          <w:color w:val="000000" w:themeColor="text1"/>
        </w:rPr>
        <w:t>The reason is the relational structure of the measurement itself. A matrix of 2,145 pairwise values built from 66 populations does not contain 2,145 independent comparisons, because every population contributes to many entries and any property of that population propagates through an entire row and column. Permuting population labels jointly on rows and columns holds this dependence fixed while breaking the link between a pair and its identity, which is why the resulting null is the appropriate reference for both the population-</w:t>
      </w:r>
      <w:r w:rsidRPr="00481999">
        <w:rPr>
          <w:rFonts w:cs="Times New Roman"/>
          <w:color w:val="000000" w:themeColor="text1"/>
        </w:rPr>
        <w:lastRenderedPageBreak/>
        <w:t>wide coefficients and the pair-level residuals (</w:t>
      </w:r>
      <w:proofErr w:type="spellStart"/>
      <w:r w:rsidRPr="00481999">
        <w:rPr>
          <w:rFonts w:cs="Times New Roman"/>
          <w:color w:val="000000" w:themeColor="text1"/>
        </w:rPr>
        <w:t>Krackhardt</w:t>
      </w:r>
      <w:proofErr w:type="spellEnd"/>
      <w:r w:rsidRPr="00481999">
        <w:rPr>
          <w:rFonts w:cs="Times New Roman"/>
          <w:color w:val="000000" w:themeColor="text1"/>
        </w:rPr>
        <w:t xml:space="preserve"> 1988; Dekker, Krackhardt, and Snijders 2007). The descriptive R-squared values and the coarse continent, dataset, and recent-admixture indicators should be read as a description of the observed matrix rather than as causal adjustment, and the same caution that applies to matrix correlation tests in spatial genetics applies here (Legendre and Fortin 2010; Guillot and Rousset 2013).</w:t>
      </w:r>
    </w:p>
    <w:p w14:paraId="3518B14C" w14:textId="77777777" w:rsidR="001D3229" w:rsidRPr="00481999" w:rsidRDefault="00000000">
      <w:pPr>
        <w:ind w:firstLine="432"/>
        <w:rPr>
          <w:rFonts w:cs="Times New Roman"/>
          <w:color w:val="000000" w:themeColor="text1"/>
        </w:rPr>
      </w:pPr>
      <w:r w:rsidRPr="00481999">
        <w:rPr>
          <w:rFonts w:cs="Times New Roman"/>
          <w:color w:val="000000" w:themeColor="text1"/>
        </w:rPr>
        <w:t xml:space="preserve">Biologically, the distance decay is consistent with serial demographic structure and with the spatial patterning of </w:t>
      </w:r>
      <w:proofErr w:type="spellStart"/>
      <w:r w:rsidRPr="00481999">
        <w:rPr>
          <w:rFonts w:cs="Times New Roman"/>
          <w:color w:val="000000" w:themeColor="text1"/>
        </w:rPr>
        <w:t>introgressed</w:t>
      </w:r>
      <w:proofErr w:type="spellEnd"/>
      <w:r w:rsidRPr="00481999">
        <w:rPr>
          <w:rFonts w:cs="Times New Roman"/>
          <w:color w:val="000000" w:themeColor="text1"/>
        </w:rPr>
        <w:t xml:space="preserve"> sequence reported previously (Sankararaman et al. 2014; Sankararaman et al. 2016; Quilodran et al. 2023), and it does not identify the timing, direction, or number of introgression events. The negative pair-level result requires </w:t>
      </w:r>
      <w:proofErr w:type="gramStart"/>
      <w:r w:rsidRPr="00481999">
        <w:rPr>
          <w:rFonts w:cs="Times New Roman"/>
          <w:color w:val="000000" w:themeColor="text1"/>
        </w:rPr>
        <w:t>an equally</w:t>
      </w:r>
      <w:proofErr w:type="gramEnd"/>
      <w:r w:rsidRPr="00481999">
        <w:rPr>
          <w:rFonts w:cs="Times New Roman"/>
          <w:color w:val="000000" w:themeColor="text1"/>
        </w:rPr>
        <w:t xml:space="preserve"> careful reading. Finding no pair with excess similarity is evidence that these data do not support pair-specific explanations beyond population-wide structure; it is not evidence that the populations in any pair lack a shared history. Two populations connected by real historical contact will often be exactly as similar as broad structure predicts, because that contact is part of what produced the structure. Population coordinates are approximate, and profile similarity can also reflect callability, allele-frequency differences, linkage, selection, and reference-panel composition.</w:t>
      </w:r>
    </w:p>
    <w:p w14:paraId="0F56910C" w14:textId="77777777" w:rsidR="001D3229" w:rsidRPr="00481999" w:rsidRDefault="00000000">
      <w:pPr>
        <w:ind w:firstLine="432"/>
        <w:rPr>
          <w:rFonts w:cs="Times New Roman"/>
          <w:color w:val="000000" w:themeColor="text1"/>
        </w:rPr>
      </w:pPr>
      <w:r w:rsidRPr="00481999">
        <w:rPr>
          <w:rFonts w:cs="Times New Roman"/>
          <w:color w:val="000000" w:themeColor="text1"/>
        </w:rPr>
        <w:lastRenderedPageBreak/>
        <w:t>ABO illustrates how a focal locus behaves under this framework. Its polymorphism is ancient and has been interpreted as a trans-species polymorphism maintained by balancing selection (</w:t>
      </w:r>
      <w:proofErr w:type="spellStart"/>
      <w:r w:rsidRPr="00481999">
        <w:rPr>
          <w:rFonts w:cs="Times New Roman"/>
          <w:color w:val="000000" w:themeColor="text1"/>
        </w:rPr>
        <w:t>Segurel</w:t>
      </w:r>
      <w:proofErr w:type="spellEnd"/>
      <w:r w:rsidRPr="00481999">
        <w:rPr>
          <w:rFonts w:cs="Times New Roman"/>
          <w:color w:val="000000" w:themeColor="text1"/>
        </w:rPr>
        <w:t xml:space="preserve"> et al. 2012), selection can alter the persistence of </w:t>
      </w:r>
      <w:proofErr w:type="spellStart"/>
      <w:r w:rsidRPr="00481999">
        <w:rPr>
          <w:rFonts w:cs="Times New Roman"/>
          <w:color w:val="000000" w:themeColor="text1"/>
        </w:rPr>
        <w:t>introgressed</w:t>
      </w:r>
      <w:proofErr w:type="spellEnd"/>
      <w:r w:rsidRPr="00481999">
        <w:rPr>
          <w:rFonts w:cs="Times New Roman"/>
          <w:color w:val="000000" w:themeColor="text1"/>
        </w:rPr>
        <w:t xml:space="preserve"> sequence near it (Petr et al. 2019), and compatible long haplotypes and inferred archaic blood-group states have been read as evidence of a specific connection (Calafell et al. 2008; </w:t>
      </w:r>
      <w:proofErr w:type="spellStart"/>
      <w:r w:rsidRPr="00481999">
        <w:rPr>
          <w:rFonts w:cs="Times New Roman"/>
          <w:color w:val="000000" w:themeColor="text1"/>
        </w:rPr>
        <w:t>Condemi</w:t>
      </w:r>
      <w:proofErr w:type="spellEnd"/>
      <w:r w:rsidRPr="00481999">
        <w:rPr>
          <w:rFonts w:cs="Times New Roman"/>
          <w:color w:val="000000" w:themeColor="text1"/>
        </w:rPr>
        <w:t xml:space="preserve"> et al. 2021), while other work attributes the same frequency patterns to founder effects (Halverson and Bolnick 2008). Evaluated against the genome-wide structural expectation, the ABO window is not exceptional. This removes one class of explanation rather than settling the question: an inferred segment in a 500-kb interval is not an ABO allele, closest-reference similarity is not a transmission path, and proximity does not make the O2-defining variant Neanderthal-derived. What remains are alternatives that the present design cannot adjudicate, including balancing selection on an ancient polymorphism (</w:t>
      </w:r>
      <w:proofErr w:type="spellStart"/>
      <w:r w:rsidRPr="00481999">
        <w:rPr>
          <w:rFonts w:cs="Times New Roman"/>
          <w:color w:val="000000" w:themeColor="text1"/>
        </w:rPr>
        <w:t>Segurel</w:t>
      </w:r>
      <w:proofErr w:type="spellEnd"/>
      <w:r w:rsidRPr="00481999">
        <w:rPr>
          <w:rFonts w:cs="Times New Roman"/>
          <w:color w:val="000000" w:themeColor="text1"/>
        </w:rPr>
        <w:t xml:space="preserve"> et al. 2012), recurrent low-level gene flow from more than one archaic source (Jacobs et al. 2019), drift through bottlenecks (Halverson and Bolnick 2008), and technical effects of reference-panel composition and callable-mask variation (Sankararaman et al. 2014). Distinguishing them will require phased local genealogies, method-matched ancient genomes such as those catalogued </w:t>
      </w:r>
      <w:r w:rsidRPr="00481999">
        <w:rPr>
          <w:rFonts w:cs="Times New Roman"/>
          <w:color w:val="000000" w:themeColor="text1"/>
        </w:rPr>
        <w:lastRenderedPageBreak/>
        <w:t>by Iasi et al. (2024), and decomposition of identity by state from identity by descent; we state these as directions, not as results.</w:t>
      </w:r>
    </w:p>
    <w:p w14:paraId="07073B13" w14:textId="77777777" w:rsidR="001D3229" w:rsidRPr="00481999" w:rsidRDefault="00000000">
      <w:pPr>
        <w:ind w:firstLine="432"/>
        <w:rPr>
          <w:rFonts w:cs="Times New Roman"/>
          <w:color w:val="000000" w:themeColor="text1"/>
        </w:rPr>
      </w:pPr>
      <w:r w:rsidRPr="00481999">
        <w:rPr>
          <w:rFonts w:cs="Times New Roman"/>
          <w:color w:val="000000" w:themeColor="text1"/>
        </w:rPr>
        <w:t xml:space="preserve">Nothing in the workflow is specific to humans or to archaic ancestry. The same non-independence arises whenever a fixed set of units is compared pair by pair: populations of a threatened species screened for unexpected connectivity, locations across a hybrid zone, crop landraces or livestock breeds compared for shared ancestry, microbial strains compared for putative horizontal transfer, or demes in a simulation study. In each case the question posed here transfers directly, namely what similarity a pair should show given the relational structure of the whole set, and the same three ingredients answer it: a complete comparison matrix, a label-permutation null that preserves unit recurrence, and explicit multiplicity control across pairs. The limitations also transfer. Several populations </w:t>
      </w:r>
      <w:proofErr w:type="spellStart"/>
      <w:r w:rsidRPr="00481999">
        <w:rPr>
          <w:rFonts w:cs="Times New Roman"/>
          <w:color w:val="000000" w:themeColor="text1"/>
        </w:rPr>
        <w:t>analysed</w:t>
      </w:r>
      <w:proofErr w:type="spellEnd"/>
      <w:r w:rsidRPr="00481999">
        <w:rPr>
          <w:rFonts w:cs="Times New Roman"/>
          <w:color w:val="000000" w:themeColor="text1"/>
        </w:rPr>
        <w:t xml:space="preserve"> here are modest in size, Denisovan calls are sparse outside Oceania, distances are centroid-based, no common callable mask was available, and correlation does not separate identity by descent from identity by state; the dataset combines two projects, and a same-dataset indicator captures technical heterogeneity only partially. The pair-level test is also deliberately conservative: a threshold of two standard deviations combined with false-discovery-rate control across close to two thousand pairs will detect only a substantial excess, so a real but modest pair-specific effect would not be </w:t>
      </w:r>
      <w:r w:rsidRPr="00481999">
        <w:rPr>
          <w:rFonts w:cs="Times New Roman"/>
          <w:color w:val="000000" w:themeColor="text1"/>
        </w:rPr>
        <w:lastRenderedPageBreak/>
        <w:t xml:space="preserve">recovered here, and the largest observed residuals are better read as an upper bound on such effects than as their refutation. More generally, a structural null is only as good as the structure it encodes, so in systems where the dominant structure is not geographic it must be modelled accordingly, and the absence of supported outliers in one system should not be </w:t>
      </w:r>
      <w:proofErr w:type="spellStart"/>
      <w:r w:rsidRPr="00481999">
        <w:rPr>
          <w:rFonts w:cs="Times New Roman"/>
          <w:color w:val="000000" w:themeColor="text1"/>
        </w:rPr>
        <w:t>generalised</w:t>
      </w:r>
      <w:proofErr w:type="spellEnd"/>
      <w:r w:rsidRPr="00481999">
        <w:rPr>
          <w:rFonts w:cs="Times New Roman"/>
          <w:color w:val="000000" w:themeColor="text1"/>
        </w:rPr>
        <w:t xml:space="preserve"> to others.</w:t>
      </w:r>
    </w:p>
    <w:p w14:paraId="3B7206D8" w14:textId="77777777" w:rsidR="001D3229" w:rsidRPr="00481999" w:rsidRDefault="00000000">
      <w:pPr>
        <w:ind w:firstLine="432"/>
        <w:rPr>
          <w:rFonts w:cs="Times New Roman"/>
          <w:color w:val="000000" w:themeColor="text1"/>
        </w:rPr>
      </w:pPr>
      <w:r w:rsidRPr="00481999">
        <w:rPr>
          <w:rFonts w:cs="Times New Roman"/>
          <w:color w:val="000000" w:themeColor="text1"/>
        </w:rPr>
        <w:t>In conclusion, pairwise archaic-segment similarity across 66 human populations is structured at the level of the whole population set rather than at the level of individual pairs. Neither any focal pair nor the prespecified ABO comparison exceeded the structural expectation defined by that set. Claims that a particular pair or a particular locus is exceptional should therefore be evaluated against a null that preserves the relational structure of the data before they are explained by pair-specific history.</w:t>
      </w:r>
    </w:p>
    <w:p w14:paraId="207D5620" w14:textId="77777777" w:rsidR="001D3229" w:rsidRPr="00481999" w:rsidRDefault="00000000">
      <w:pPr>
        <w:pStyle w:val="1"/>
        <w:rPr>
          <w:rFonts w:ascii="Times New Roman" w:hAnsi="Times New Roman" w:cs="Times New Roman"/>
          <w:color w:val="000000" w:themeColor="text1"/>
        </w:rPr>
      </w:pPr>
      <w:r w:rsidRPr="00481999">
        <w:rPr>
          <w:rFonts w:ascii="Times New Roman" w:hAnsi="Times New Roman" w:cs="Times New Roman"/>
          <w:color w:val="000000" w:themeColor="text1"/>
        </w:rPr>
        <w:t>Acknowledgements</w:t>
      </w:r>
    </w:p>
    <w:p w14:paraId="035DD24F" w14:textId="77777777" w:rsidR="001D3229" w:rsidRDefault="00000000">
      <w:pPr>
        <w:rPr>
          <w:rFonts w:cs="Times New Roman"/>
          <w:color w:val="000000" w:themeColor="text1"/>
        </w:rPr>
      </w:pPr>
      <w:r w:rsidRPr="00481999">
        <w:rPr>
          <w:rFonts w:cs="Times New Roman"/>
          <w:color w:val="000000" w:themeColor="text1"/>
        </w:rPr>
        <w:t xml:space="preserve">The author acknowledges the participants, communities, and investigators whose contributions made the 1000 Genomes, HGDP, </w:t>
      </w:r>
      <w:proofErr w:type="spellStart"/>
      <w:r w:rsidRPr="00481999">
        <w:rPr>
          <w:rFonts w:cs="Times New Roman"/>
          <w:color w:val="000000" w:themeColor="text1"/>
        </w:rPr>
        <w:t>hmmix</w:t>
      </w:r>
      <w:proofErr w:type="spellEnd"/>
      <w:r w:rsidRPr="00481999">
        <w:rPr>
          <w:rFonts w:cs="Times New Roman"/>
          <w:color w:val="000000" w:themeColor="text1"/>
        </w:rPr>
        <w:t>, and ancient-genome resources available. Public availability does not remove obligations of respectful reuse.</w:t>
      </w:r>
    </w:p>
    <w:p w14:paraId="14F7F3B3" w14:textId="02A71229" w:rsidR="004D5D2F" w:rsidRPr="004D5D2F" w:rsidRDefault="004D5D2F" w:rsidP="004D5D2F">
      <w:pPr>
        <w:pStyle w:val="1"/>
        <w:rPr>
          <w:rFonts w:ascii="Times New Roman" w:hAnsi="Times New Roman" w:cs="Times New Roman" w:hint="eastAsia"/>
          <w:color w:val="000000" w:themeColor="text1"/>
        </w:rPr>
      </w:pPr>
      <w:r w:rsidRPr="004D5D2F">
        <w:rPr>
          <w:rFonts w:ascii="Times New Roman" w:hAnsi="Times New Roman" w:cs="Times New Roman"/>
          <w:color w:val="000000" w:themeColor="text1"/>
        </w:rPr>
        <w:lastRenderedPageBreak/>
        <w:t>Funding</w:t>
      </w:r>
    </w:p>
    <w:p w14:paraId="4159DB85" w14:textId="2D7652AD" w:rsidR="001D3229" w:rsidRPr="00481999" w:rsidRDefault="00000000">
      <w:pPr>
        <w:rPr>
          <w:rFonts w:cs="Times New Roman"/>
          <w:color w:val="000000" w:themeColor="text1"/>
        </w:rPr>
      </w:pPr>
      <w:r w:rsidRPr="00481999">
        <w:rPr>
          <w:rFonts w:cs="Times New Roman"/>
          <w:color w:val="000000" w:themeColor="text1"/>
        </w:rPr>
        <w:t>This research received no specific grant from any funding agency in the public, commercial, or not-for-profit sectors.</w:t>
      </w:r>
    </w:p>
    <w:p w14:paraId="2F474759" w14:textId="77777777" w:rsidR="001D3229" w:rsidRPr="00481999" w:rsidRDefault="00000000">
      <w:pPr>
        <w:pStyle w:val="1"/>
        <w:rPr>
          <w:rFonts w:ascii="Times New Roman" w:hAnsi="Times New Roman" w:cs="Times New Roman"/>
          <w:color w:val="000000" w:themeColor="text1"/>
        </w:rPr>
      </w:pPr>
      <w:r w:rsidRPr="00481999">
        <w:rPr>
          <w:rFonts w:ascii="Times New Roman" w:hAnsi="Times New Roman" w:cs="Times New Roman"/>
          <w:color w:val="000000" w:themeColor="text1"/>
        </w:rPr>
        <w:t>Author Contributions</w:t>
      </w:r>
    </w:p>
    <w:p w14:paraId="5C88E67D" w14:textId="77777777" w:rsidR="001D3229" w:rsidRPr="00481999" w:rsidRDefault="00000000">
      <w:pPr>
        <w:rPr>
          <w:rFonts w:cs="Times New Roman"/>
          <w:color w:val="000000" w:themeColor="text1"/>
        </w:rPr>
      </w:pPr>
      <w:r w:rsidRPr="00481999">
        <w:rPr>
          <w:rFonts w:cs="Times New Roman"/>
          <w:color w:val="000000" w:themeColor="text1"/>
        </w:rPr>
        <w:t>The author was responsible for conceptualization, methodology, formal analysis, visualization, writing—original draft, and writing—review and editing.</w:t>
      </w:r>
    </w:p>
    <w:p w14:paraId="0AFF3C5B" w14:textId="77777777" w:rsidR="001D3229" w:rsidRPr="00481999" w:rsidRDefault="00000000">
      <w:pPr>
        <w:pStyle w:val="1"/>
        <w:rPr>
          <w:rFonts w:ascii="Times New Roman" w:hAnsi="Times New Roman" w:cs="Times New Roman"/>
          <w:color w:val="000000" w:themeColor="text1"/>
        </w:rPr>
      </w:pPr>
      <w:r w:rsidRPr="00481999">
        <w:rPr>
          <w:rFonts w:ascii="Times New Roman" w:hAnsi="Times New Roman" w:cs="Times New Roman"/>
          <w:color w:val="000000" w:themeColor="text1"/>
        </w:rPr>
        <w:t>Conflict of Interest Statement</w:t>
      </w:r>
    </w:p>
    <w:p w14:paraId="7CBB1498" w14:textId="77777777" w:rsidR="001D3229" w:rsidRPr="00481999" w:rsidRDefault="00000000">
      <w:pPr>
        <w:rPr>
          <w:rFonts w:cs="Times New Roman"/>
          <w:color w:val="000000" w:themeColor="text1"/>
        </w:rPr>
      </w:pPr>
      <w:r w:rsidRPr="00481999">
        <w:rPr>
          <w:rFonts w:cs="Times New Roman"/>
          <w:color w:val="000000" w:themeColor="text1"/>
        </w:rPr>
        <w:t>The author declares no conflict of interest.</w:t>
      </w:r>
    </w:p>
    <w:p w14:paraId="30120B7F" w14:textId="77777777" w:rsidR="001D3229" w:rsidRPr="00481999" w:rsidRDefault="00000000">
      <w:pPr>
        <w:pStyle w:val="1"/>
        <w:rPr>
          <w:rFonts w:ascii="Times New Roman" w:hAnsi="Times New Roman" w:cs="Times New Roman"/>
          <w:color w:val="000000" w:themeColor="text1"/>
        </w:rPr>
      </w:pPr>
      <w:r w:rsidRPr="00481999">
        <w:rPr>
          <w:rFonts w:ascii="Times New Roman" w:hAnsi="Times New Roman" w:cs="Times New Roman"/>
          <w:color w:val="000000" w:themeColor="text1"/>
        </w:rPr>
        <w:t>Data Archiving</w:t>
      </w:r>
    </w:p>
    <w:p w14:paraId="37A33351" w14:textId="05CC7635" w:rsidR="004D5D2F" w:rsidRDefault="00000000" w:rsidP="004D5D2F">
      <w:pPr>
        <w:rPr>
          <w:rFonts w:cs="Times New Roman" w:hint="eastAsia"/>
          <w:lang w:eastAsia="ja-JP"/>
        </w:rPr>
      </w:pPr>
      <w:r w:rsidRPr="00481999">
        <w:rPr>
          <w:rFonts w:cs="Times New Roman"/>
          <w:color w:val="000000" w:themeColor="text1"/>
        </w:rPr>
        <w:t xml:space="preserve">The source </w:t>
      </w:r>
      <w:proofErr w:type="spellStart"/>
      <w:r w:rsidRPr="00481999">
        <w:rPr>
          <w:rFonts w:cs="Times New Roman"/>
          <w:color w:val="000000" w:themeColor="text1"/>
        </w:rPr>
        <w:t>hmmix</w:t>
      </w:r>
      <w:proofErr w:type="spellEnd"/>
      <w:r w:rsidRPr="00481999">
        <w:rPr>
          <w:rFonts w:cs="Times New Roman"/>
          <w:color w:val="000000" w:themeColor="text1"/>
        </w:rPr>
        <w:t xml:space="preserve"> segment calls are available from </w:t>
      </w:r>
      <w:proofErr w:type="spellStart"/>
      <w:r w:rsidRPr="00481999">
        <w:rPr>
          <w:rFonts w:cs="Times New Roman"/>
          <w:color w:val="000000" w:themeColor="text1"/>
        </w:rPr>
        <w:t>Zenodo</w:t>
      </w:r>
      <w:proofErr w:type="spellEnd"/>
      <w:r w:rsidRPr="00481999">
        <w:rPr>
          <w:rFonts w:cs="Times New Roman"/>
          <w:color w:val="000000" w:themeColor="text1"/>
        </w:rPr>
        <w:t xml:space="preserve"> record 14136628 (https://doi.org/10.5281/zenodo.14136628). The ancient ABO-window observations were derived from the public Neanderthal-segment catalogue of Iasi et al. (2024), archived at Dryad (https://doi.org/10.5061/dryad.zw3r228gg); O2 subtype-defining allele frequencies were obtained from the </w:t>
      </w:r>
      <w:proofErr w:type="spellStart"/>
      <w:r w:rsidRPr="00481999">
        <w:rPr>
          <w:rFonts w:cs="Times New Roman"/>
          <w:color w:val="000000" w:themeColor="text1"/>
        </w:rPr>
        <w:t>Ensembl</w:t>
      </w:r>
      <w:proofErr w:type="spellEnd"/>
      <w:r w:rsidRPr="00481999">
        <w:rPr>
          <w:rFonts w:cs="Times New Roman"/>
          <w:color w:val="000000" w:themeColor="text1"/>
        </w:rPr>
        <w:t xml:space="preserve"> Variation application programming interface and from Ohashi et al. (2006). Analysis scripts, aggregate derived data, and figures, including the abo_window_focal_test.py script that implements the ABO focal-window </w:t>
      </w:r>
      <w:r w:rsidRPr="00481999">
        <w:rPr>
          <w:rFonts w:cs="Times New Roman"/>
          <w:color w:val="000000" w:themeColor="text1"/>
        </w:rPr>
        <w:lastRenderedPageBreak/>
        <w:t xml:space="preserve">comparison reported here, are available </w:t>
      </w:r>
      <w:r w:rsidR="004D5D2F">
        <w:rPr>
          <w:rFonts w:cs="Times New Roman" w:hint="eastAsia"/>
          <w:color w:val="000000" w:themeColor="text1"/>
          <w:lang w:eastAsia="ja-JP"/>
        </w:rPr>
        <w:t xml:space="preserve">at </w:t>
      </w:r>
      <w:r w:rsidR="004D5D2F" w:rsidRPr="004D5D2F">
        <w:rPr>
          <w:rFonts w:cs="Times New Roman"/>
          <w:color w:val="000000" w:themeColor="text1"/>
          <w:lang w:eastAsia="ja-JP"/>
        </w:rPr>
        <w:t>https://github.com/bougtoir/denisovan-archaic-dna-analysis.</w:t>
      </w:r>
    </w:p>
    <w:p w14:paraId="6992232E" w14:textId="7FB02DCD" w:rsidR="004D5D2F" w:rsidRPr="004D5D2F" w:rsidRDefault="004D5D2F" w:rsidP="004D5D2F">
      <w:pPr>
        <w:pStyle w:val="1"/>
        <w:rPr>
          <w:rFonts w:ascii="Times New Roman" w:hAnsi="Times New Roman" w:cs="Times New Roman" w:hint="eastAsia"/>
          <w:color w:val="000000" w:themeColor="text1"/>
        </w:rPr>
      </w:pPr>
      <w:r w:rsidRPr="004D5D2F">
        <w:rPr>
          <w:rFonts w:ascii="Times New Roman" w:hAnsi="Times New Roman" w:cs="Times New Roman"/>
          <w:color w:val="000000" w:themeColor="text1"/>
        </w:rPr>
        <w:t>Declaration of Generative Artificial Intelligence (AI) in Scientific Writing</w:t>
      </w:r>
    </w:p>
    <w:p w14:paraId="3F4FDFC7" w14:textId="6CBB66C1" w:rsidR="001D3229" w:rsidRPr="004D5D2F" w:rsidRDefault="004D5D2F">
      <w:pPr>
        <w:rPr>
          <w:rFonts w:cs="Times New Roman" w:hint="eastAsia"/>
          <w:b/>
          <w:bCs/>
          <w:lang w:eastAsia="ja-JP"/>
        </w:rPr>
      </w:pPr>
      <w:r w:rsidRPr="00C44872">
        <w:rPr>
          <w:rFonts w:cs="Times New Roman"/>
        </w:rPr>
        <w:t xml:space="preserve">During the preparation of this work the author used Devin (devin.ai) </w:t>
      </w:r>
      <w:proofErr w:type="gramStart"/>
      <w:r w:rsidRPr="00C44872">
        <w:rPr>
          <w:rFonts w:cs="Times New Roman"/>
        </w:rPr>
        <w:t>in order to</w:t>
      </w:r>
      <w:proofErr w:type="gramEnd"/>
      <w:r w:rsidRPr="00C44872">
        <w:rPr>
          <w:rFonts w:cs="Times New Roman"/>
        </w:rPr>
        <w:t xml:space="preserve"> format the text and choose words that suited the tone, and to help writing codes. After using this tool/service, the author reviewed and edited the content as needed and takes full responsibility for the content of the published article.</w:t>
      </w:r>
    </w:p>
    <w:p w14:paraId="7648AA8F" w14:textId="77777777" w:rsidR="001D3229" w:rsidRPr="00481999" w:rsidRDefault="00000000">
      <w:pPr>
        <w:pStyle w:val="1"/>
        <w:rPr>
          <w:rFonts w:ascii="Times New Roman" w:hAnsi="Times New Roman" w:cs="Times New Roman"/>
          <w:color w:val="000000" w:themeColor="text1"/>
        </w:rPr>
      </w:pPr>
      <w:r w:rsidRPr="00481999">
        <w:rPr>
          <w:rFonts w:ascii="Times New Roman" w:hAnsi="Times New Roman" w:cs="Times New Roman"/>
          <w:color w:val="000000" w:themeColor="text1"/>
        </w:rPr>
        <w:t>Ethics Statement</w:t>
      </w:r>
    </w:p>
    <w:p w14:paraId="5CC424E9" w14:textId="77777777" w:rsidR="001D3229" w:rsidRPr="00481999" w:rsidRDefault="00000000">
      <w:pPr>
        <w:rPr>
          <w:rFonts w:cs="Times New Roman"/>
          <w:color w:val="000000" w:themeColor="text1"/>
        </w:rPr>
      </w:pPr>
      <w:r w:rsidRPr="00481999">
        <w:rPr>
          <w:rFonts w:cs="Times New Roman"/>
          <w:color w:val="000000" w:themeColor="text1"/>
        </w:rPr>
        <w:t xml:space="preserve">This secondary computational analysis used de-identified public genomic data and involved no recruitment, participant contact, biospecimen collection, or new phenotype inference. No separate institutional review determination was obtained; approvals, consent, and access procedures were those reported by the source studies. No source community representatives participated in this secondary study, and no direct community return-of-results process occurred. Because Indigenous genomic records are included, results are reported only at the minimum level needed for auditability, are not </w:t>
      </w:r>
      <w:proofErr w:type="spellStart"/>
      <w:r w:rsidRPr="00481999">
        <w:rPr>
          <w:rFonts w:cs="Times New Roman"/>
          <w:color w:val="000000" w:themeColor="text1"/>
        </w:rPr>
        <w:t>generalised</w:t>
      </w:r>
      <w:proofErr w:type="spellEnd"/>
      <w:r w:rsidRPr="00481999">
        <w:rPr>
          <w:rFonts w:cs="Times New Roman"/>
          <w:color w:val="000000" w:themeColor="text1"/>
        </w:rPr>
        <w:t xml:space="preserve"> to communities, </w:t>
      </w:r>
      <w:r w:rsidRPr="00481999">
        <w:rPr>
          <w:rFonts w:cs="Times New Roman"/>
          <w:color w:val="000000" w:themeColor="text1"/>
        </w:rPr>
        <w:lastRenderedPageBreak/>
        <w:t>and are not used to assign migration routes. The public article, code, and aggregate derived results are the current means of results availability.</w:t>
      </w:r>
    </w:p>
    <w:p w14:paraId="6BC8ED50" w14:textId="77777777" w:rsidR="001D3229" w:rsidRPr="00481999" w:rsidRDefault="00000000">
      <w:pPr>
        <w:pStyle w:val="1"/>
        <w:rPr>
          <w:rFonts w:ascii="Times New Roman" w:hAnsi="Times New Roman" w:cs="Times New Roman"/>
          <w:color w:val="000000" w:themeColor="text1"/>
        </w:rPr>
      </w:pPr>
      <w:r w:rsidRPr="00481999">
        <w:rPr>
          <w:rFonts w:ascii="Times New Roman" w:hAnsi="Times New Roman" w:cs="Times New Roman"/>
          <w:color w:val="000000" w:themeColor="text1"/>
        </w:rPr>
        <w:t>References</w:t>
      </w:r>
    </w:p>
    <w:p w14:paraId="1644FAC5"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1000 Genomes Project Consortium. 2015. A global reference for human genetic variation. Nature 526:68-74. https://doi.org/10.1038/nature15393.</w:t>
      </w:r>
    </w:p>
    <w:p w14:paraId="6F550FD6"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Benjamini Y, Hochberg Y. 1995. Controlling the false discovery rate: a practical and powerful approach to multiple testing. J R Stat Soc B 57:289-300. https://doi.org/10.1111/j.2517-6161.1995.tb02031.x.</w:t>
      </w:r>
    </w:p>
    <w:p w14:paraId="2D4D6E64"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 xml:space="preserve">Bergström A, McCarthy SA, Hui R, Almarri MA, Ayub Q, </w:t>
      </w:r>
      <w:proofErr w:type="spellStart"/>
      <w:r w:rsidRPr="00481999">
        <w:rPr>
          <w:rFonts w:cs="Times New Roman"/>
          <w:color w:val="000000" w:themeColor="text1"/>
          <w:sz w:val="20"/>
        </w:rPr>
        <w:t>Danecek</w:t>
      </w:r>
      <w:proofErr w:type="spellEnd"/>
      <w:r w:rsidRPr="00481999">
        <w:rPr>
          <w:rFonts w:cs="Times New Roman"/>
          <w:color w:val="000000" w:themeColor="text1"/>
          <w:sz w:val="20"/>
        </w:rPr>
        <w:t xml:space="preserve"> P, et al. 2020. Insights into human genetic variation and population history from 929 diverse genomes. Science </w:t>
      </w:r>
      <w:proofErr w:type="gramStart"/>
      <w:r w:rsidRPr="00481999">
        <w:rPr>
          <w:rFonts w:cs="Times New Roman"/>
          <w:color w:val="000000" w:themeColor="text1"/>
          <w:sz w:val="20"/>
        </w:rPr>
        <w:t>367:eaay</w:t>
      </w:r>
      <w:proofErr w:type="gramEnd"/>
      <w:r w:rsidRPr="00481999">
        <w:rPr>
          <w:rFonts w:cs="Times New Roman"/>
          <w:color w:val="000000" w:themeColor="text1"/>
          <w:sz w:val="20"/>
        </w:rPr>
        <w:t>5012. https://doi.org/10.1126/science.aay5012.</w:t>
      </w:r>
    </w:p>
    <w:p w14:paraId="0E90D0AB"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 xml:space="preserve">Calafell F, </w:t>
      </w:r>
      <w:proofErr w:type="spellStart"/>
      <w:r w:rsidRPr="00481999">
        <w:rPr>
          <w:rFonts w:cs="Times New Roman"/>
          <w:color w:val="000000" w:themeColor="text1"/>
          <w:sz w:val="20"/>
        </w:rPr>
        <w:t>Roubinet</w:t>
      </w:r>
      <w:proofErr w:type="spellEnd"/>
      <w:r w:rsidRPr="00481999">
        <w:rPr>
          <w:rFonts w:cs="Times New Roman"/>
          <w:color w:val="000000" w:themeColor="text1"/>
          <w:sz w:val="20"/>
        </w:rPr>
        <w:t xml:space="preserve"> F, Ramírez-Soriano A, Saitou N, </w:t>
      </w:r>
      <w:proofErr w:type="spellStart"/>
      <w:r w:rsidRPr="00481999">
        <w:rPr>
          <w:rFonts w:cs="Times New Roman"/>
          <w:color w:val="000000" w:themeColor="text1"/>
          <w:sz w:val="20"/>
        </w:rPr>
        <w:t>Bertranpetit</w:t>
      </w:r>
      <w:proofErr w:type="spellEnd"/>
      <w:r w:rsidRPr="00481999">
        <w:rPr>
          <w:rFonts w:cs="Times New Roman"/>
          <w:color w:val="000000" w:themeColor="text1"/>
          <w:sz w:val="20"/>
        </w:rPr>
        <w:t xml:space="preserve"> J, Blancher A. 2008. Evolutionary dynamics of the human ABO gene. Hum Genet 124:123-135. https://doi.org/10.1007/s00439-008-0530-8.</w:t>
      </w:r>
    </w:p>
    <w:p w14:paraId="64A1D788"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 xml:space="preserve">Carroll SR, Garba I, Figueroa-Rodríguez OL, Holbrook J, Lovett R, </w:t>
      </w:r>
      <w:proofErr w:type="spellStart"/>
      <w:r w:rsidRPr="00481999">
        <w:rPr>
          <w:rFonts w:cs="Times New Roman"/>
          <w:color w:val="000000" w:themeColor="text1"/>
          <w:sz w:val="20"/>
        </w:rPr>
        <w:t>Materechera</w:t>
      </w:r>
      <w:proofErr w:type="spellEnd"/>
      <w:r w:rsidRPr="00481999">
        <w:rPr>
          <w:rFonts w:cs="Times New Roman"/>
          <w:color w:val="000000" w:themeColor="text1"/>
          <w:sz w:val="20"/>
        </w:rPr>
        <w:t xml:space="preserve"> S, et al. 2020. The CARE principles for indigenous data governance. Data Sci J 19:43. https://doi.org/10.5334/dsj-2020-043.</w:t>
      </w:r>
    </w:p>
    <w:p w14:paraId="2FD66B14"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Claw KG, Anderson MZ, Begay RL, Tsosie KS, Fox K, Garrison NA, et al. 2018. A framework for enhancing ethical genomic research with Indigenous communities. Nat Commun 9:2957. https://doi.org/10.1038/s41467-018-05188-3.</w:t>
      </w:r>
    </w:p>
    <w:p w14:paraId="4FD69C9B" w14:textId="77777777" w:rsidR="001D3229" w:rsidRPr="00481999" w:rsidRDefault="00000000">
      <w:pPr>
        <w:spacing w:after="80" w:line="276" w:lineRule="auto"/>
        <w:ind w:left="360" w:hanging="360"/>
        <w:rPr>
          <w:rFonts w:cs="Times New Roman"/>
          <w:color w:val="000000" w:themeColor="text1"/>
        </w:rPr>
      </w:pPr>
      <w:proofErr w:type="spellStart"/>
      <w:r w:rsidRPr="00481999">
        <w:rPr>
          <w:rFonts w:cs="Times New Roman"/>
          <w:color w:val="000000" w:themeColor="text1"/>
          <w:sz w:val="20"/>
        </w:rPr>
        <w:t>Condemi</w:t>
      </w:r>
      <w:proofErr w:type="spellEnd"/>
      <w:r w:rsidRPr="00481999">
        <w:rPr>
          <w:rFonts w:cs="Times New Roman"/>
          <w:color w:val="000000" w:themeColor="text1"/>
          <w:sz w:val="20"/>
        </w:rPr>
        <w:t xml:space="preserve"> S, </w:t>
      </w:r>
      <w:proofErr w:type="spellStart"/>
      <w:r w:rsidRPr="00481999">
        <w:rPr>
          <w:rFonts w:cs="Times New Roman"/>
          <w:color w:val="000000" w:themeColor="text1"/>
          <w:sz w:val="20"/>
        </w:rPr>
        <w:t>Mazières</w:t>
      </w:r>
      <w:proofErr w:type="spellEnd"/>
      <w:r w:rsidRPr="00481999">
        <w:rPr>
          <w:rFonts w:cs="Times New Roman"/>
          <w:color w:val="000000" w:themeColor="text1"/>
          <w:sz w:val="20"/>
        </w:rPr>
        <w:t xml:space="preserve"> S, Faux P, </w:t>
      </w:r>
      <w:proofErr w:type="spellStart"/>
      <w:r w:rsidRPr="00481999">
        <w:rPr>
          <w:rFonts w:cs="Times New Roman"/>
          <w:color w:val="000000" w:themeColor="text1"/>
          <w:sz w:val="20"/>
        </w:rPr>
        <w:t>Costedoat</w:t>
      </w:r>
      <w:proofErr w:type="spellEnd"/>
      <w:r w:rsidRPr="00481999">
        <w:rPr>
          <w:rFonts w:cs="Times New Roman"/>
          <w:color w:val="000000" w:themeColor="text1"/>
          <w:sz w:val="20"/>
        </w:rPr>
        <w:t xml:space="preserve"> C, Ruiz-Linares A, Bailly P, et al. 2021. Blood groups of Neandertals and Denisova decrypted. </w:t>
      </w:r>
      <w:proofErr w:type="spellStart"/>
      <w:r w:rsidRPr="00481999">
        <w:rPr>
          <w:rFonts w:cs="Times New Roman"/>
          <w:color w:val="000000" w:themeColor="text1"/>
          <w:sz w:val="20"/>
        </w:rPr>
        <w:t>PLoS</w:t>
      </w:r>
      <w:proofErr w:type="spellEnd"/>
      <w:r w:rsidRPr="00481999">
        <w:rPr>
          <w:rFonts w:cs="Times New Roman"/>
          <w:color w:val="000000" w:themeColor="text1"/>
          <w:sz w:val="20"/>
        </w:rPr>
        <w:t xml:space="preserve"> ONE </w:t>
      </w:r>
      <w:proofErr w:type="gramStart"/>
      <w:r w:rsidRPr="00481999">
        <w:rPr>
          <w:rFonts w:cs="Times New Roman"/>
          <w:color w:val="000000" w:themeColor="text1"/>
          <w:sz w:val="20"/>
        </w:rPr>
        <w:t>16:e</w:t>
      </w:r>
      <w:proofErr w:type="gramEnd"/>
      <w:r w:rsidRPr="00481999">
        <w:rPr>
          <w:rFonts w:cs="Times New Roman"/>
          <w:color w:val="000000" w:themeColor="text1"/>
          <w:sz w:val="20"/>
        </w:rPr>
        <w:t>0254175. https://doi.org/10.1371/journal.pone.0254175.</w:t>
      </w:r>
    </w:p>
    <w:p w14:paraId="7742C4F1"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 xml:space="preserve">Dekker D, </w:t>
      </w:r>
      <w:proofErr w:type="spellStart"/>
      <w:r w:rsidRPr="00481999">
        <w:rPr>
          <w:rFonts w:cs="Times New Roman"/>
          <w:color w:val="000000" w:themeColor="text1"/>
          <w:sz w:val="20"/>
        </w:rPr>
        <w:t>Krackhardt</w:t>
      </w:r>
      <w:proofErr w:type="spellEnd"/>
      <w:r w:rsidRPr="00481999">
        <w:rPr>
          <w:rFonts w:cs="Times New Roman"/>
          <w:color w:val="000000" w:themeColor="text1"/>
          <w:sz w:val="20"/>
        </w:rPr>
        <w:t xml:space="preserve"> D, Snijders TAB. 2007. Sensitivity of MRQAP tests to collinearity and autocorrelation conditions. Psychometrika 72:563-581. https://doi.org/10.1007/s11336-007-9016-1.</w:t>
      </w:r>
    </w:p>
    <w:p w14:paraId="578A3B33"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Green RE, Krause J, Briggs AW, Maricic T, Stenzel U, Kircher M, et al. 2010. A draft sequence of the Neandertal genome. Science 328:710-722. https://doi.org/10.1126/science.1188021.</w:t>
      </w:r>
    </w:p>
    <w:p w14:paraId="6D0DF1DC"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 xml:space="preserve">Guillot G, Rousset F. 2013. Dismantling the Mantel tests. Methods </w:t>
      </w:r>
      <w:proofErr w:type="spellStart"/>
      <w:r w:rsidRPr="00481999">
        <w:rPr>
          <w:rFonts w:cs="Times New Roman"/>
          <w:color w:val="000000" w:themeColor="text1"/>
          <w:sz w:val="20"/>
        </w:rPr>
        <w:t>Ecol</w:t>
      </w:r>
      <w:proofErr w:type="spellEnd"/>
      <w:r w:rsidRPr="00481999">
        <w:rPr>
          <w:rFonts w:cs="Times New Roman"/>
          <w:color w:val="000000" w:themeColor="text1"/>
          <w:sz w:val="20"/>
        </w:rPr>
        <w:t xml:space="preserve"> Evol 4:336-344. https://doi.org/10.1111/2041-210x.12018.</w:t>
      </w:r>
    </w:p>
    <w:p w14:paraId="4B04790F"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 xml:space="preserve">Halverson MS, Bolnick DA. 2008. An ancient DNA test of a founder effect in Native American ABO blood group frequencies. Am J Phys </w:t>
      </w:r>
      <w:proofErr w:type="spellStart"/>
      <w:r w:rsidRPr="00481999">
        <w:rPr>
          <w:rFonts w:cs="Times New Roman"/>
          <w:color w:val="000000" w:themeColor="text1"/>
          <w:sz w:val="20"/>
        </w:rPr>
        <w:t>Anthropol</w:t>
      </w:r>
      <w:proofErr w:type="spellEnd"/>
      <w:r w:rsidRPr="00481999">
        <w:rPr>
          <w:rFonts w:cs="Times New Roman"/>
          <w:color w:val="000000" w:themeColor="text1"/>
          <w:sz w:val="20"/>
        </w:rPr>
        <w:t xml:space="preserve"> 137:342-347. https://doi.org/10.1002/ajpa.20887.</w:t>
      </w:r>
    </w:p>
    <w:p w14:paraId="05A52346"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lastRenderedPageBreak/>
        <w:t xml:space="preserve">Iasi LNM, Chintalapati M, Skov L, Bossoms Mesa A, Hajdinjak M, Peter BM, et al. 2024. Neanderthal ancestry through time: insights from genomes of ancient and present-day humans. Science </w:t>
      </w:r>
      <w:proofErr w:type="gramStart"/>
      <w:r w:rsidRPr="00481999">
        <w:rPr>
          <w:rFonts w:cs="Times New Roman"/>
          <w:color w:val="000000" w:themeColor="text1"/>
          <w:sz w:val="20"/>
        </w:rPr>
        <w:t>386:eadq</w:t>
      </w:r>
      <w:proofErr w:type="gramEnd"/>
      <w:r w:rsidRPr="00481999">
        <w:rPr>
          <w:rFonts w:cs="Times New Roman"/>
          <w:color w:val="000000" w:themeColor="text1"/>
          <w:sz w:val="20"/>
        </w:rPr>
        <w:t>3010. https://doi.org/10.1126/science.adq3010.</w:t>
      </w:r>
    </w:p>
    <w:p w14:paraId="2B46DA58"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 xml:space="preserve">Jacobs GS, </w:t>
      </w:r>
      <w:proofErr w:type="spellStart"/>
      <w:r w:rsidRPr="00481999">
        <w:rPr>
          <w:rFonts w:cs="Times New Roman"/>
          <w:color w:val="000000" w:themeColor="text1"/>
          <w:sz w:val="20"/>
        </w:rPr>
        <w:t>Hudjashov</w:t>
      </w:r>
      <w:proofErr w:type="spellEnd"/>
      <w:r w:rsidRPr="00481999">
        <w:rPr>
          <w:rFonts w:cs="Times New Roman"/>
          <w:color w:val="000000" w:themeColor="text1"/>
          <w:sz w:val="20"/>
        </w:rPr>
        <w:t xml:space="preserve"> G, Saag L, Kusuma P, </w:t>
      </w:r>
      <w:proofErr w:type="spellStart"/>
      <w:r w:rsidRPr="00481999">
        <w:rPr>
          <w:rFonts w:cs="Times New Roman"/>
          <w:color w:val="000000" w:themeColor="text1"/>
          <w:sz w:val="20"/>
        </w:rPr>
        <w:t>Darusallam</w:t>
      </w:r>
      <w:proofErr w:type="spellEnd"/>
      <w:r w:rsidRPr="00481999">
        <w:rPr>
          <w:rFonts w:cs="Times New Roman"/>
          <w:color w:val="000000" w:themeColor="text1"/>
          <w:sz w:val="20"/>
        </w:rPr>
        <w:t xml:space="preserve"> CC, Lawson DJ, et al. 2019. Multiple deeply divergent Denisovan ancestries in Papuans. Cell 177:1010-1021.e32. https://doi.org/10.1016/j.cell.2019.02.035.</w:t>
      </w:r>
    </w:p>
    <w:p w14:paraId="5833385C" w14:textId="77777777" w:rsidR="001D3229" w:rsidRPr="00481999" w:rsidRDefault="00000000">
      <w:pPr>
        <w:spacing w:after="80" w:line="276" w:lineRule="auto"/>
        <w:ind w:left="360" w:hanging="360"/>
        <w:rPr>
          <w:rFonts w:cs="Times New Roman"/>
          <w:color w:val="000000" w:themeColor="text1"/>
        </w:rPr>
      </w:pPr>
      <w:proofErr w:type="spellStart"/>
      <w:r w:rsidRPr="00481999">
        <w:rPr>
          <w:rFonts w:cs="Times New Roman"/>
          <w:color w:val="000000" w:themeColor="text1"/>
          <w:sz w:val="20"/>
        </w:rPr>
        <w:t>Krackhardt</w:t>
      </w:r>
      <w:proofErr w:type="spellEnd"/>
      <w:r w:rsidRPr="00481999">
        <w:rPr>
          <w:rFonts w:cs="Times New Roman"/>
          <w:color w:val="000000" w:themeColor="text1"/>
          <w:sz w:val="20"/>
        </w:rPr>
        <w:t xml:space="preserve"> D. 1988. Predicting with networks: nonparametric multiple regression analysis of dyadic data. Soc Networks 10:359-381. https://doi.org/10.1016/0378-8733(88)90004-4.</w:t>
      </w:r>
    </w:p>
    <w:p w14:paraId="40060BD2"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 xml:space="preserve">Legendre P, Fortin MJ. 2010. Comparison of the Mantel test and alternative approaches for detecting complex multivariate relationships in the spatial analysis of genetic data. Mol </w:t>
      </w:r>
      <w:proofErr w:type="spellStart"/>
      <w:r w:rsidRPr="00481999">
        <w:rPr>
          <w:rFonts w:cs="Times New Roman"/>
          <w:color w:val="000000" w:themeColor="text1"/>
          <w:sz w:val="20"/>
        </w:rPr>
        <w:t>Ecol</w:t>
      </w:r>
      <w:proofErr w:type="spellEnd"/>
      <w:r w:rsidRPr="00481999">
        <w:rPr>
          <w:rFonts w:cs="Times New Roman"/>
          <w:color w:val="000000" w:themeColor="text1"/>
          <w:sz w:val="20"/>
        </w:rPr>
        <w:t xml:space="preserve"> </w:t>
      </w:r>
      <w:proofErr w:type="spellStart"/>
      <w:r w:rsidRPr="00481999">
        <w:rPr>
          <w:rFonts w:cs="Times New Roman"/>
          <w:color w:val="000000" w:themeColor="text1"/>
          <w:sz w:val="20"/>
        </w:rPr>
        <w:t>Resour</w:t>
      </w:r>
      <w:proofErr w:type="spellEnd"/>
      <w:r w:rsidRPr="00481999">
        <w:rPr>
          <w:rFonts w:cs="Times New Roman"/>
          <w:color w:val="000000" w:themeColor="text1"/>
          <w:sz w:val="20"/>
        </w:rPr>
        <w:t xml:space="preserve"> 10:831-844. https://doi.org/10.1111/j.1755-0998.2010.02866.x.</w:t>
      </w:r>
    </w:p>
    <w:p w14:paraId="43004E6E"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Mantel N. 1967. The detection of disease clustering and a generalized regression approach. Cancer Res 27:209-220.</w:t>
      </w:r>
    </w:p>
    <w:p w14:paraId="7DCDB550"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 xml:space="preserve">Mazet O, Rodríguez W, </w:t>
      </w:r>
      <w:proofErr w:type="spellStart"/>
      <w:r w:rsidRPr="00481999">
        <w:rPr>
          <w:rFonts w:cs="Times New Roman"/>
          <w:color w:val="000000" w:themeColor="text1"/>
          <w:sz w:val="20"/>
        </w:rPr>
        <w:t>Grusea</w:t>
      </w:r>
      <w:proofErr w:type="spellEnd"/>
      <w:r w:rsidRPr="00481999">
        <w:rPr>
          <w:rFonts w:cs="Times New Roman"/>
          <w:color w:val="000000" w:themeColor="text1"/>
          <w:sz w:val="20"/>
        </w:rPr>
        <w:t xml:space="preserve"> S, </w:t>
      </w:r>
      <w:proofErr w:type="spellStart"/>
      <w:r w:rsidRPr="00481999">
        <w:rPr>
          <w:rFonts w:cs="Times New Roman"/>
          <w:color w:val="000000" w:themeColor="text1"/>
          <w:sz w:val="20"/>
        </w:rPr>
        <w:t>Boitard</w:t>
      </w:r>
      <w:proofErr w:type="spellEnd"/>
      <w:r w:rsidRPr="00481999">
        <w:rPr>
          <w:rFonts w:cs="Times New Roman"/>
          <w:color w:val="000000" w:themeColor="text1"/>
          <w:sz w:val="20"/>
        </w:rPr>
        <w:t xml:space="preserve"> S, Chikhi L. 2016. On the importance of being structured: instantaneous coalescence rates and human evolution-lessons for ancestral population size inference? Heredity 116:362-371. https://doi.org/10.1038/hdy.2015.104.</w:t>
      </w:r>
    </w:p>
    <w:p w14:paraId="57B1B8B8"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 xml:space="preserve">Ohashi J, Naka I, Kimura R, Tokunaga K, Yamauchi T, </w:t>
      </w:r>
      <w:proofErr w:type="spellStart"/>
      <w:r w:rsidRPr="00481999">
        <w:rPr>
          <w:rFonts w:cs="Times New Roman"/>
          <w:color w:val="000000" w:themeColor="text1"/>
          <w:sz w:val="20"/>
        </w:rPr>
        <w:t>Natsuhara</w:t>
      </w:r>
      <w:proofErr w:type="spellEnd"/>
      <w:r w:rsidRPr="00481999">
        <w:rPr>
          <w:rFonts w:cs="Times New Roman"/>
          <w:color w:val="000000" w:themeColor="text1"/>
          <w:sz w:val="20"/>
        </w:rPr>
        <w:t xml:space="preserve"> K, et al. 2006. Polymorphisms in the ABO blood group gene in three populations in the New Georgia Group of the Solomon Islands. J Hum Genet 51:407-411. https://doi.org/10.1007/s10038-006-0375-8.</w:t>
      </w:r>
    </w:p>
    <w:p w14:paraId="58085205"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 xml:space="preserve">Ortega-Del </w:t>
      </w:r>
      <w:proofErr w:type="spellStart"/>
      <w:r w:rsidRPr="00481999">
        <w:rPr>
          <w:rFonts w:cs="Times New Roman"/>
          <w:color w:val="000000" w:themeColor="text1"/>
          <w:sz w:val="20"/>
        </w:rPr>
        <w:t>Vecchyo</w:t>
      </w:r>
      <w:proofErr w:type="spellEnd"/>
      <w:r w:rsidRPr="00481999">
        <w:rPr>
          <w:rFonts w:cs="Times New Roman"/>
          <w:color w:val="000000" w:themeColor="text1"/>
          <w:sz w:val="20"/>
        </w:rPr>
        <w:t xml:space="preserve"> D, Slatkin M. 2019. FST between archaic and present-day samples. Heredity 122:711-718. https://doi.org/10.1038/s41437-018-0169-8.</w:t>
      </w:r>
    </w:p>
    <w:p w14:paraId="523F683A"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 xml:space="preserve">Petr M, </w:t>
      </w:r>
      <w:proofErr w:type="spellStart"/>
      <w:r w:rsidRPr="00481999">
        <w:rPr>
          <w:rFonts w:cs="Times New Roman"/>
          <w:color w:val="000000" w:themeColor="text1"/>
          <w:sz w:val="20"/>
        </w:rPr>
        <w:t>Pääbo</w:t>
      </w:r>
      <w:proofErr w:type="spellEnd"/>
      <w:r w:rsidRPr="00481999">
        <w:rPr>
          <w:rFonts w:cs="Times New Roman"/>
          <w:color w:val="000000" w:themeColor="text1"/>
          <w:sz w:val="20"/>
        </w:rPr>
        <w:t xml:space="preserve"> S, Kelso J, Vernot B. 2019. Limits of long-term selection against Neandertal introgression. Proc Natl Acad Sci USA 116:1639-1644. https://doi.org/10.1073/pnas.1814338116.</w:t>
      </w:r>
    </w:p>
    <w:p w14:paraId="658E4DD0" w14:textId="77777777" w:rsidR="001D3229" w:rsidRPr="00481999" w:rsidRDefault="00000000">
      <w:pPr>
        <w:spacing w:after="80" w:line="276" w:lineRule="auto"/>
        <w:ind w:left="360" w:hanging="360"/>
        <w:rPr>
          <w:rFonts w:cs="Times New Roman"/>
          <w:color w:val="000000" w:themeColor="text1"/>
        </w:rPr>
      </w:pPr>
      <w:proofErr w:type="spellStart"/>
      <w:r w:rsidRPr="00481999">
        <w:rPr>
          <w:rFonts w:cs="Times New Roman"/>
          <w:color w:val="000000" w:themeColor="text1"/>
          <w:sz w:val="20"/>
        </w:rPr>
        <w:t>Prüfer</w:t>
      </w:r>
      <w:proofErr w:type="spellEnd"/>
      <w:r w:rsidRPr="00481999">
        <w:rPr>
          <w:rFonts w:cs="Times New Roman"/>
          <w:color w:val="000000" w:themeColor="text1"/>
          <w:sz w:val="20"/>
        </w:rPr>
        <w:t xml:space="preserve"> K, de Filippo C, Grote S, </w:t>
      </w:r>
      <w:proofErr w:type="spellStart"/>
      <w:r w:rsidRPr="00481999">
        <w:rPr>
          <w:rFonts w:cs="Times New Roman"/>
          <w:color w:val="000000" w:themeColor="text1"/>
          <w:sz w:val="20"/>
        </w:rPr>
        <w:t>Mafessoni</w:t>
      </w:r>
      <w:proofErr w:type="spellEnd"/>
      <w:r w:rsidRPr="00481999">
        <w:rPr>
          <w:rFonts w:cs="Times New Roman"/>
          <w:color w:val="000000" w:themeColor="text1"/>
          <w:sz w:val="20"/>
        </w:rPr>
        <w:t xml:space="preserve"> F, </w:t>
      </w:r>
      <w:proofErr w:type="spellStart"/>
      <w:r w:rsidRPr="00481999">
        <w:rPr>
          <w:rFonts w:cs="Times New Roman"/>
          <w:color w:val="000000" w:themeColor="text1"/>
          <w:sz w:val="20"/>
        </w:rPr>
        <w:t>Korlević</w:t>
      </w:r>
      <w:proofErr w:type="spellEnd"/>
      <w:r w:rsidRPr="00481999">
        <w:rPr>
          <w:rFonts w:cs="Times New Roman"/>
          <w:color w:val="000000" w:themeColor="text1"/>
          <w:sz w:val="20"/>
        </w:rPr>
        <w:t xml:space="preserve"> P, Hajdinjak M, et al. 2017. A high-coverage Neandertal genome from </w:t>
      </w:r>
      <w:proofErr w:type="spellStart"/>
      <w:r w:rsidRPr="00481999">
        <w:rPr>
          <w:rFonts w:cs="Times New Roman"/>
          <w:color w:val="000000" w:themeColor="text1"/>
          <w:sz w:val="20"/>
        </w:rPr>
        <w:t>Vindija</w:t>
      </w:r>
      <w:proofErr w:type="spellEnd"/>
      <w:r w:rsidRPr="00481999">
        <w:rPr>
          <w:rFonts w:cs="Times New Roman"/>
          <w:color w:val="000000" w:themeColor="text1"/>
          <w:sz w:val="20"/>
        </w:rPr>
        <w:t xml:space="preserve"> Cave in Croatia. Science 358:655-658. https://doi.org/10.1126/science.aao1887.</w:t>
      </w:r>
    </w:p>
    <w:p w14:paraId="1F4C0F1D"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 xml:space="preserve">Quilodran CS, Rio J, </w:t>
      </w:r>
      <w:proofErr w:type="spellStart"/>
      <w:r w:rsidRPr="00481999">
        <w:rPr>
          <w:rFonts w:cs="Times New Roman"/>
          <w:color w:val="000000" w:themeColor="text1"/>
          <w:sz w:val="20"/>
        </w:rPr>
        <w:t>Tsoupas</w:t>
      </w:r>
      <w:proofErr w:type="spellEnd"/>
      <w:r w:rsidRPr="00481999">
        <w:rPr>
          <w:rFonts w:cs="Times New Roman"/>
          <w:color w:val="000000" w:themeColor="text1"/>
          <w:sz w:val="20"/>
        </w:rPr>
        <w:t xml:space="preserve"> A, </w:t>
      </w:r>
      <w:proofErr w:type="spellStart"/>
      <w:r w:rsidRPr="00481999">
        <w:rPr>
          <w:rFonts w:cs="Times New Roman"/>
          <w:color w:val="000000" w:themeColor="text1"/>
          <w:sz w:val="20"/>
        </w:rPr>
        <w:t>Currat</w:t>
      </w:r>
      <w:proofErr w:type="spellEnd"/>
      <w:r w:rsidRPr="00481999">
        <w:rPr>
          <w:rFonts w:cs="Times New Roman"/>
          <w:color w:val="000000" w:themeColor="text1"/>
          <w:sz w:val="20"/>
        </w:rPr>
        <w:t xml:space="preserve"> M. 2023. Past human expansions shaped the spatial pattern of Neanderthal ancestry. Sci Adv </w:t>
      </w:r>
      <w:proofErr w:type="gramStart"/>
      <w:r w:rsidRPr="00481999">
        <w:rPr>
          <w:rFonts w:cs="Times New Roman"/>
          <w:color w:val="000000" w:themeColor="text1"/>
          <w:sz w:val="20"/>
        </w:rPr>
        <w:t>9:eadg</w:t>
      </w:r>
      <w:proofErr w:type="gramEnd"/>
      <w:r w:rsidRPr="00481999">
        <w:rPr>
          <w:rFonts w:cs="Times New Roman"/>
          <w:color w:val="000000" w:themeColor="text1"/>
          <w:sz w:val="20"/>
        </w:rPr>
        <w:t>9817. https://doi.org/10.1126/sciadv.adg9817.</w:t>
      </w:r>
    </w:p>
    <w:p w14:paraId="43EC8A40"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Reich D, Green RE, Kircher M, Krause J, Patterson N, Durand EY, et al. 2010. Genetic history of an archaic hominin group from Denisova Cave in Siberia. Nature 468:1053-1060. https://doi.org/10.1038/nature09710.</w:t>
      </w:r>
    </w:p>
    <w:p w14:paraId="6480945C"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Rousset F. 1997. Genetic differentiation and estimation of gene flow from F-statistics under isolation by distance. Genetics 145:1219-1228. https://doi.org/10.1093/genetics/145.4.1219.</w:t>
      </w:r>
    </w:p>
    <w:p w14:paraId="33C888D4"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lastRenderedPageBreak/>
        <w:t xml:space="preserve">Sankararaman S, Mallick S, Dannemann M, </w:t>
      </w:r>
      <w:proofErr w:type="spellStart"/>
      <w:r w:rsidRPr="00481999">
        <w:rPr>
          <w:rFonts w:cs="Times New Roman"/>
          <w:color w:val="000000" w:themeColor="text1"/>
          <w:sz w:val="20"/>
        </w:rPr>
        <w:t>Prüfer</w:t>
      </w:r>
      <w:proofErr w:type="spellEnd"/>
      <w:r w:rsidRPr="00481999">
        <w:rPr>
          <w:rFonts w:cs="Times New Roman"/>
          <w:color w:val="000000" w:themeColor="text1"/>
          <w:sz w:val="20"/>
        </w:rPr>
        <w:t xml:space="preserve"> K, Kelso J, </w:t>
      </w:r>
      <w:proofErr w:type="spellStart"/>
      <w:r w:rsidRPr="00481999">
        <w:rPr>
          <w:rFonts w:cs="Times New Roman"/>
          <w:color w:val="000000" w:themeColor="text1"/>
          <w:sz w:val="20"/>
        </w:rPr>
        <w:t>Pääbo</w:t>
      </w:r>
      <w:proofErr w:type="spellEnd"/>
      <w:r w:rsidRPr="00481999">
        <w:rPr>
          <w:rFonts w:cs="Times New Roman"/>
          <w:color w:val="000000" w:themeColor="text1"/>
          <w:sz w:val="20"/>
        </w:rPr>
        <w:t xml:space="preserve"> S, et al. 2014. The genomic landscape of Neanderthal ancestry in present-day humans. Nature 507:354-357. https://doi.org/10.1038/nature12961.</w:t>
      </w:r>
    </w:p>
    <w:p w14:paraId="2F360D13"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Sankararaman S, Mallick S, Patterson N, Reich D. 2016. The combined landscape of Denisovan and Neanderthal ancestry in present-day humans. Curr Biol 26:1241-1247. https://doi.org/10.1016/j.cub.2016.03.037.</w:t>
      </w:r>
    </w:p>
    <w:p w14:paraId="47A0667F" w14:textId="77777777" w:rsidR="001D3229" w:rsidRPr="00481999" w:rsidRDefault="00000000">
      <w:pPr>
        <w:spacing w:after="80" w:line="276" w:lineRule="auto"/>
        <w:ind w:left="360" w:hanging="360"/>
        <w:rPr>
          <w:rFonts w:cs="Times New Roman"/>
          <w:color w:val="000000" w:themeColor="text1"/>
        </w:rPr>
      </w:pPr>
      <w:proofErr w:type="spellStart"/>
      <w:r w:rsidRPr="00481999">
        <w:rPr>
          <w:rFonts w:cs="Times New Roman"/>
          <w:color w:val="000000" w:themeColor="text1"/>
          <w:sz w:val="20"/>
        </w:rPr>
        <w:t>Segurel</w:t>
      </w:r>
      <w:proofErr w:type="spellEnd"/>
      <w:r w:rsidRPr="00481999">
        <w:rPr>
          <w:rFonts w:cs="Times New Roman"/>
          <w:color w:val="000000" w:themeColor="text1"/>
          <w:sz w:val="20"/>
        </w:rPr>
        <w:t xml:space="preserve"> L, Thompson EE, </w:t>
      </w:r>
      <w:proofErr w:type="spellStart"/>
      <w:r w:rsidRPr="00481999">
        <w:rPr>
          <w:rFonts w:cs="Times New Roman"/>
          <w:color w:val="000000" w:themeColor="text1"/>
          <w:sz w:val="20"/>
        </w:rPr>
        <w:t>Flutre</w:t>
      </w:r>
      <w:proofErr w:type="spellEnd"/>
      <w:r w:rsidRPr="00481999">
        <w:rPr>
          <w:rFonts w:cs="Times New Roman"/>
          <w:color w:val="000000" w:themeColor="text1"/>
          <w:sz w:val="20"/>
        </w:rPr>
        <w:t xml:space="preserve"> T, Lovstad J, Venkat A, Margulis SW, et al. 2012. The ABO blood group is a trans-species polymorphism in primates. Proc Natl Acad Sci USA 109:18493-18498. https://doi.org/10.1073/pnas.1210603109.</w:t>
      </w:r>
    </w:p>
    <w:p w14:paraId="6F88F2BF" w14:textId="77777777" w:rsidR="001D3229" w:rsidRPr="00481999" w:rsidRDefault="00000000">
      <w:pPr>
        <w:spacing w:after="80" w:line="276" w:lineRule="auto"/>
        <w:ind w:left="360" w:hanging="360"/>
        <w:rPr>
          <w:rFonts w:cs="Times New Roman"/>
          <w:color w:val="000000" w:themeColor="text1"/>
        </w:rPr>
      </w:pPr>
      <w:r w:rsidRPr="00481999">
        <w:rPr>
          <w:rFonts w:cs="Times New Roman"/>
          <w:color w:val="000000" w:themeColor="text1"/>
          <w:sz w:val="20"/>
        </w:rPr>
        <w:t xml:space="preserve">Skov L, Hui R, </w:t>
      </w:r>
      <w:proofErr w:type="spellStart"/>
      <w:r w:rsidRPr="00481999">
        <w:rPr>
          <w:rFonts w:cs="Times New Roman"/>
          <w:color w:val="000000" w:themeColor="text1"/>
          <w:sz w:val="20"/>
        </w:rPr>
        <w:t>Shchur</w:t>
      </w:r>
      <w:proofErr w:type="spellEnd"/>
      <w:r w:rsidRPr="00481999">
        <w:rPr>
          <w:rFonts w:cs="Times New Roman"/>
          <w:color w:val="000000" w:themeColor="text1"/>
          <w:sz w:val="20"/>
        </w:rPr>
        <w:t xml:space="preserve"> V, Hobolth A, Scally A, Schierup MH, et al. 2018. Detecting archaic introgression using an unadmixed outgroup. </w:t>
      </w:r>
      <w:proofErr w:type="spellStart"/>
      <w:r w:rsidRPr="00481999">
        <w:rPr>
          <w:rFonts w:cs="Times New Roman"/>
          <w:color w:val="000000" w:themeColor="text1"/>
          <w:sz w:val="20"/>
        </w:rPr>
        <w:t>PLoS</w:t>
      </w:r>
      <w:proofErr w:type="spellEnd"/>
      <w:r w:rsidRPr="00481999">
        <w:rPr>
          <w:rFonts w:cs="Times New Roman"/>
          <w:color w:val="000000" w:themeColor="text1"/>
          <w:sz w:val="20"/>
        </w:rPr>
        <w:t xml:space="preserve"> Genet </w:t>
      </w:r>
      <w:proofErr w:type="gramStart"/>
      <w:r w:rsidRPr="00481999">
        <w:rPr>
          <w:rFonts w:cs="Times New Roman"/>
          <w:color w:val="000000" w:themeColor="text1"/>
          <w:sz w:val="20"/>
        </w:rPr>
        <w:t>14:e</w:t>
      </w:r>
      <w:proofErr w:type="gramEnd"/>
      <w:r w:rsidRPr="00481999">
        <w:rPr>
          <w:rFonts w:cs="Times New Roman"/>
          <w:color w:val="000000" w:themeColor="text1"/>
          <w:sz w:val="20"/>
        </w:rPr>
        <w:t>1007641. https://doi.org/10.1371/journal.pgen.1007641.</w:t>
      </w:r>
    </w:p>
    <w:p w14:paraId="73D576B4" w14:textId="77777777" w:rsidR="001D3229" w:rsidRPr="00481999" w:rsidRDefault="00000000">
      <w:pPr>
        <w:spacing w:after="80" w:line="276" w:lineRule="auto"/>
        <w:ind w:left="360" w:hanging="360"/>
        <w:rPr>
          <w:rFonts w:cs="Times New Roman"/>
          <w:color w:val="000000" w:themeColor="text1"/>
        </w:rPr>
      </w:pPr>
      <w:proofErr w:type="spellStart"/>
      <w:r w:rsidRPr="00481999">
        <w:rPr>
          <w:rFonts w:cs="Times New Roman"/>
          <w:color w:val="000000" w:themeColor="text1"/>
          <w:sz w:val="20"/>
        </w:rPr>
        <w:t>Tournebize</w:t>
      </w:r>
      <w:proofErr w:type="spellEnd"/>
      <w:r w:rsidRPr="00481999">
        <w:rPr>
          <w:rFonts w:cs="Times New Roman"/>
          <w:color w:val="000000" w:themeColor="text1"/>
          <w:sz w:val="20"/>
        </w:rPr>
        <w:t xml:space="preserve"> R, Chikhi L. 2025. Ignoring population structure in hominin evolutionary models can lead to the inference of spurious admixture events. Nat </w:t>
      </w:r>
      <w:proofErr w:type="spellStart"/>
      <w:r w:rsidRPr="00481999">
        <w:rPr>
          <w:rFonts w:cs="Times New Roman"/>
          <w:color w:val="000000" w:themeColor="text1"/>
          <w:sz w:val="20"/>
        </w:rPr>
        <w:t>Ecol</w:t>
      </w:r>
      <w:proofErr w:type="spellEnd"/>
      <w:r w:rsidRPr="00481999">
        <w:rPr>
          <w:rFonts w:cs="Times New Roman"/>
          <w:color w:val="000000" w:themeColor="text1"/>
          <w:sz w:val="20"/>
        </w:rPr>
        <w:t xml:space="preserve"> Evol 9:225-236. https://doi.org/10.1038/s41559-024-02591-6.</w:t>
      </w:r>
    </w:p>
    <w:p w14:paraId="19880A32" w14:textId="780C550A" w:rsidR="004D5D2F" w:rsidRDefault="00000000" w:rsidP="0040516A">
      <w:pPr>
        <w:spacing w:after="80" w:line="276" w:lineRule="auto"/>
        <w:ind w:left="360" w:hanging="360"/>
        <w:rPr>
          <w:rFonts w:eastAsiaTheme="majorEastAsia" w:cs="Times New Roman"/>
          <w:b/>
          <w:bCs/>
          <w:color w:val="000000" w:themeColor="text1"/>
          <w:sz w:val="28"/>
          <w:szCs w:val="28"/>
        </w:rPr>
      </w:pPr>
      <w:r w:rsidRPr="00481999">
        <w:rPr>
          <w:rFonts w:cs="Times New Roman"/>
          <w:color w:val="000000" w:themeColor="text1"/>
          <w:sz w:val="20"/>
        </w:rPr>
        <w:t xml:space="preserve">Wright S. 1943. Isolation by distance. Genetics 28:114-138. </w:t>
      </w:r>
      <w:r w:rsidR="0040516A" w:rsidRPr="0040516A">
        <w:rPr>
          <w:rFonts w:cs="Times New Roman"/>
          <w:color w:val="000000" w:themeColor="text1"/>
          <w:sz w:val="20"/>
        </w:rPr>
        <w:t>https://doi.org/10.1093/genetics/28.2.114.</w:t>
      </w:r>
      <w:r w:rsidR="004D5D2F">
        <w:rPr>
          <w:rFonts w:cs="Times New Roman"/>
          <w:color w:val="000000" w:themeColor="text1"/>
        </w:rPr>
        <w:br w:type="page"/>
      </w:r>
    </w:p>
    <w:sectPr w:rsidR="004D5D2F" w:rsidSect="00034616">
      <w:pgSz w:w="12240" w:h="15840"/>
      <w:pgMar w:top="2268" w:right="2268" w:bottom="2268" w:left="2268"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9A390" w14:textId="77777777" w:rsidR="0050256B" w:rsidRDefault="0050256B" w:rsidP="003B72BC">
      <w:pPr>
        <w:spacing w:line="240" w:lineRule="auto"/>
      </w:pPr>
      <w:r>
        <w:separator/>
      </w:r>
    </w:p>
  </w:endnote>
  <w:endnote w:type="continuationSeparator" w:id="0">
    <w:p w14:paraId="3376FE39" w14:textId="77777777" w:rsidR="0050256B" w:rsidRDefault="0050256B" w:rsidP="003B72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BFE05" w14:textId="77777777" w:rsidR="0050256B" w:rsidRDefault="0050256B" w:rsidP="003B72BC">
      <w:pPr>
        <w:spacing w:line="240" w:lineRule="auto"/>
      </w:pPr>
      <w:r>
        <w:separator/>
      </w:r>
    </w:p>
  </w:footnote>
  <w:footnote w:type="continuationSeparator" w:id="0">
    <w:p w14:paraId="600DBA25" w14:textId="77777777" w:rsidR="0050256B" w:rsidRDefault="0050256B" w:rsidP="003B72B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36765440">
    <w:abstractNumId w:val="8"/>
  </w:num>
  <w:num w:numId="2" w16cid:durableId="1469006649">
    <w:abstractNumId w:val="6"/>
  </w:num>
  <w:num w:numId="3" w16cid:durableId="364059816">
    <w:abstractNumId w:val="5"/>
  </w:num>
  <w:num w:numId="4" w16cid:durableId="1032656667">
    <w:abstractNumId w:val="4"/>
  </w:num>
  <w:num w:numId="5" w16cid:durableId="908154936">
    <w:abstractNumId w:val="7"/>
  </w:num>
  <w:num w:numId="6" w16cid:durableId="2019501957">
    <w:abstractNumId w:val="3"/>
  </w:num>
  <w:num w:numId="7" w16cid:durableId="2117291116">
    <w:abstractNumId w:val="2"/>
  </w:num>
  <w:num w:numId="8" w16cid:durableId="1175614494">
    <w:abstractNumId w:val="1"/>
  </w:num>
  <w:num w:numId="9" w16cid:durableId="951132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229"/>
    <w:rsid w:val="0029639D"/>
    <w:rsid w:val="00326F90"/>
    <w:rsid w:val="003B72BC"/>
    <w:rsid w:val="0040516A"/>
    <w:rsid w:val="00481999"/>
    <w:rsid w:val="004D5D2F"/>
    <w:rsid w:val="0050256B"/>
    <w:rsid w:val="006D3B3B"/>
    <w:rsid w:val="00AA1D8D"/>
    <w:rsid w:val="00B47730"/>
    <w:rsid w:val="00CB0664"/>
    <w:rsid w:val="00F547FF"/>
    <w:rsid w:val="00F611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534EF766"/>
  <w14:defaultImageDpi w14:val="300"/>
  <w15:docId w15:val="{8C48263C-7887-4433-9212-03CB18722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line number"/>
    <w:basedOn w:val="a2"/>
    <w:uiPriority w:val="99"/>
    <w:semiHidden/>
    <w:unhideWhenUsed/>
    <w:rsid w:val="00481999"/>
  </w:style>
  <w:style w:type="character" w:styleId="aff0">
    <w:name w:val="Hyperlink"/>
    <w:basedOn w:val="a2"/>
    <w:uiPriority w:val="99"/>
    <w:unhideWhenUsed/>
    <w:rsid w:val="004D5D2F"/>
    <w:rPr>
      <w:color w:val="0000FF" w:themeColor="hyperlink"/>
      <w:u w:val="single"/>
    </w:rPr>
  </w:style>
  <w:style w:type="character" w:styleId="aff1">
    <w:name w:val="Unresolved Mention"/>
    <w:basedOn w:val="a2"/>
    <w:uiPriority w:val="99"/>
    <w:semiHidden/>
    <w:unhideWhenUsed/>
    <w:rsid w:val="004D5D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ougtoir@gmail.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32</Pages>
  <Words>6000</Words>
  <Characters>37443</Characters>
  <Application>Microsoft Office Word</Application>
  <DocSecurity>0</DocSecurity>
  <Lines>656</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structure defines the null expectation for pairwise genomic similarity: archaic-segment sharing across 66 human populations</dc:title>
  <dc:subject/>
  <dc:creator/>
  <cp:keywords/>
  <dc:description>generated by python-docx</dc:description>
  <cp:lastModifiedBy>tatsuki onishi</cp:lastModifiedBy>
  <cp:revision>6</cp:revision>
  <dcterms:created xsi:type="dcterms:W3CDTF">2013-12-23T23:15:00Z</dcterms:created>
  <dcterms:modified xsi:type="dcterms:W3CDTF">2026-10-13T03:36:00Z</dcterms:modified>
  <cp:category/>
</cp:coreProperties>
</file>