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Dr Louise J. Johnson</w:t>
      </w:r>
    </w:p>
    <w:p>
      <w:r>
        <w:t>Editor-in-Chief, Heredity</w:t>
      </w:r>
    </w:p>
    <w:p>
      <w:r>
        <w:t>University of Reading, UK</w:t>
      </w:r>
    </w:p>
    <w:p/>
    <w:p>
      <w:r>
        <w:rPr>
          <w:b/>
        </w:rPr>
        <w:t>Re: Submission of an Article</w:t>
      </w:r>
    </w:p>
    <w:p>
      <w:r>
        <w:t>Dear Dr Louise J. Johnson,</w:t>
      </w:r>
    </w:p>
    <w:p>
      <w:r>
        <w:t>I am pleased to submit "Population structure defines the null expectation for pairwise genomic similarity: archaic-segment sharing across 66 human populations" for consideration as an Article in Heredity. This is a new submission following your consideration of manuscript HDY-26-A0368. In response to the points raised about presentation and framing, the manuscript has been substantially restructured for a broad genetics readership; the changes go well beyond copyediting.</w:t>
      </w:r>
    </w:p>
    <w:p>
      <w:r>
        <w:t>The central point is now general. Pairwise comparisons between populations are used throughout population genetics, but the same populations recur across many pairs, so pairwise measurements are not independent and a pair that looks unusually similar may simply sit where population-wide structure places it. The manuscript formulates and operationalises a structure-aware workflow for asking what similarity a pair should show given the relational structure of the full set of units, combining a complete comparison matrix, a population-label permutation null (the quadratic assignment procedure), pair-level residual testing, and explicit multiplicity control. We do not claim to have invented the permutation method, nor to have discovered that unmodelled population structure can mislead evolutionary inference, which is already documented for demographic and admixture models; the contribution is a structure-aware inferential workflow for pair-specific genomic similarity, and its application.</w:t>
      </w:r>
    </w:p>
    <w:p>
      <w:r>
        <w:t>The restructuring is visible throughout. The Introduction now moves from general pairwise inference and non-independence to the structural null, and only then to the empirical system. The Results are organised by scientific question rather than by procedure: population structure, pair-level testing, robustness, and the focal locus. A new conceptual Figure 1 explains the problem and the workflow without requiring prior knowledge of archaic introgression. Archaic-segment sharing is presented as the empirical demonstration, and the ABO blood-group region is a prespecified worked example of a focal locus rather than the identity of the paper; route-specific discussion has been compressed accordingly and the supporting ABO material moved to Supporting Information.</w:t>
      </w:r>
    </w:p>
    <w:p>
      <w:r>
        <w:t>Empirically, high-confidence Neanderthal and Denisovan calls from 3,134 individuals in 66 populations (1000 Genomes Project and Human Genome Diversity Project) were summarised in 500-kb windows and compared across all 2,145 population pairs. Similarity declines strongly with geographic distance under the permutation null, but no pair exceeded the prespecified residual and false-discovery-rate criteria, and the ABO region did not exceed the genome-wide structural expectation. We are careful to state that this is evidence against pair-specific excess similarity in these data, not evidence that the populations concerned lack shared history.</w:t>
      </w:r>
    </w:p>
    <w:p>
      <w:r>
        <w:t>I believe the work fits the diverse readership of Heredity. The inferential problem it addresses arises wherever a fixed set of units is compared pair by pair, including conservation genetics, hybrid zones, crop and livestock populations, microbial strains, and simulated demes, and the manuscript makes that transfer explicit while avoiding claims beyond the system studied.</w:t>
      </w:r>
    </w:p>
    <w:p>
      <w:r>
        <w:t>The work is original, is not under consideration elsewhere, and uses de-identified public genomic resources. No new human participants or specimens were recruited. The manuscript explicitly discloses that no separate institutional review determination, community participation, or direct return-of-results process occurred for this secondary analysis. The author declares no conflict of interest and reports no external funding.</w:t>
      </w:r>
    </w:p>
    <w:p>
      <w:r>
        <w:t>All analysis code and derived outputs are provided through the project repository. The source archaic-introgression data, generated with hmmix (a hidden Markov model-based detection method), are publicly archived in Zenodo. The submission includes separate figure files, editable tables, figure legends in the manuscript, and a complete Supporting Information file.</w:t>
      </w:r>
    </w:p>
    <w:p>
      <w:r>
        <w:t>Sincerely,</w:t>
      </w:r>
    </w:p>
    <w:p>
      <w:r>
        <w:t>Onishi Tatsuki</w:t>
      </w:r>
    </w:p>
    <w:p>
      <w:r>
        <w:t>Data Science and AI Innovation Research Promotion Center, Shiga University, Hikone, Shiga, Japan</w:t>
      </w:r>
    </w:p>
    <w:p>
      <w:r>
        <w:t>Email: bougtoir@gmail.com</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4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