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biological or historical processes.</w:t>
      </w:r>
    </w:p>
    <w:p>
      <w:pPr>
        <w:ind w:firstLine="0"/>
      </w:pPr>
      <w:r>
        <w:rPr>
          <w:b/>
        </w:rPr>
        <w:t xml:space="preserve">Keywords: </w:t>
      </w:r>
      <w:r>
        <w:t>population structure; dyadic data; permutation tests; gene flow;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empirical system is human, but the inferential problem is not: wherever repeated units are compared pair by pair, whether they are populations, demes, strains, breeds, or sampling locations,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spacing w:before="320"/>
        <w:jc w:val="center"/>
      </w:pPr>
      <w:r>
        <w:drawing>
          <wp:inline xmlns:a="http://schemas.openxmlformats.org/drawingml/2006/main" xmlns:pic="http://schemas.openxmlformats.org/drawingml/2006/picture">
            <wp:extent cx="5806440" cy="2714541"/>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806440" cy="2714541"/>
                    </a:xfrm>
                    <a:prstGeom prst="rect"/>
                  </pic:spPr>
                </pic:pic>
              </a:graphicData>
            </a:graphic>
          </wp:inline>
        </w:drawing>
      </w:r>
    </w:p>
    <w:p>
      <w:pPr>
        <w:spacing w:before="200" w:line="276" w:lineRule="auto"/>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before="320"/>
        <w:jc w:val="center"/>
      </w:pPr>
      <w:r>
        <w:drawing>
          <wp:inline xmlns:a="http://schemas.openxmlformats.org/drawingml/2006/main" xmlns:pic="http://schemas.openxmlformats.org/drawingml/2006/picture">
            <wp:extent cx="5806440" cy="2695784"/>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806440" cy="2695784"/>
                    </a:xfrm>
                    <a:prstGeom prst="rect"/>
                  </pic:spPr>
                </pic:pic>
              </a:graphicData>
            </a:graphic>
          </wp:inline>
        </w:drawing>
      </w:r>
    </w:p>
    <w:p>
      <w:pPr>
        <w:spacing w:before="200" w:line="276" w:lineRule="auto"/>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spacing w:before="320"/>
        <w:jc w:val="center"/>
      </w:pPr>
      <w:r>
        <w:drawing>
          <wp:inline xmlns:a="http://schemas.openxmlformats.org/drawingml/2006/main" xmlns:pic="http://schemas.openxmlformats.org/drawingml/2006/picture">
            <wp:extent cx="5806440" cy="2482653"/>
            <wp:docPr id="3" name="Picture 3"/>
            <wp:cNvGraphicFramePr>
              <a:graphicFrameLocks noChangeAspect="1"/>
            </wp:cNvGraphicFramePr>
            <a:graphic>
              <a:graphicData uri="http://schemas.openxmlformats.org/drawingml/2006/picture">
                <pic:pic>
                  <pic:nvPicPr>
                    <pic:cNvPr id="0" name="figH4_residual_evidence.png"/>
                    <pic:cNvPicPr/>
                  </pic:nvPicPr>
                  <pic:blipFill>
                    <a:blip r:embed="rId11"/>
                    <a:stretch>
                      <a:fillRect/>
                    </a:stretch>
                  </pic:blipFill>
                  <pic:spPr>
                    <a:xfrm>
                      <a:off x="0" y="0"/>
                      <a:ext cx="5806440" cy="2482653"/>
                    </a:xfrm>
                    <a:prstGeom prst="rect"/>
                  </pic:spPr>
                </pic:pic>
              </a:graphicData>
            </a:graphic>
          </wp:inline>
        </w:drawing>
      </w:r>
    </w:p>
    <w:p>
      <w:pPr>
        <w:spacing w:before="200" w:line="276" w:lineRule="auto"/>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spacing w:before="320"/>
        <w:jc w:val="center"/>
      </w:pPr>
      <w:r>
        <w:drawing>
          <wp:inline xmlns:a="http://schemas.openxmlformats.org/drawingml/2006/main" xmlns:pic="http://schemas.openxmlformats.org/drawingml/2006/picture">
            <wp:extent cx="5806440" cy="2417213"/>
            <wp:docPr id="4" name="Picture 4"/>
            <wp:cNvGraphicFramePr>
              <a:graphicFrameLocks noChangeAspect="1"/>
            </wp:cNvGraphicFramePr>
            <a:graphic>
              <a:graphicData uri="http://schemas.openxmlformats.org/drawingml/2006/picture">
                <pic:pic>
                  <pic:nvPicPr>
                    <pic:cNvPr id="0" name="figH5_robustness_summary.png"/>
                    <pic:cNvPicPr/>
                  </pic:nvPicPr>
                  <pic:blipFill>
                    <a:blip r:embed="rId12"/>
                    <a:stretch>
                      <a:fillRect/>
                    </a:stretch>
                  </pic:blipFill>
                  <pic:spPr>
                    <a:xfrm>
                      <a:off x="0" y="0"/>
                      <a:ext cx="5806440" cy="2417213"/>
                    </a:xfrm>
                    <a:prstGeom prst="rect"/>
                  </pic:spPr>
                </pic:pic>
              </a:graphicData>
            </a:graphic>
          </wp:inline>
        </w:drawing>
      </w:r>
    </w:p>
    <w:p>
      <w:pPr>
        <w:spacing w:before="200" w:line="276" w:lineRule="auto"/>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humans or to archaic ancestry. The same non-independence arises whenever a fixed set of units is compared pair by pair: populations of a threatened species screened for unexpected connectivity, locations across a hybrid zone, crop landraces or livestock breeds compared for shared ancestry, microbial strains compared for putative horizontal transfer, or demes in a simulation study. In each case the question posed here transfers directly, namely what similarity a pair should show given the relational structure of the whole set, and the same three ingredients answer it: a complete comparison matrix, a label-permutation null that preserves unit recurrence, and explicit multiplicity control across pairs. The limitations also transfer.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r>
        <w:t>Funding: 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Conflict of Interest Statement</w:t>
      </w:r>
    </w:p>
    <w:p>
      <w:r>
        <w:t>The author declares no conflict of interest.</w:t>
      </w:r>
    </w:p>
    <w:p>
      <w:pPr>
        <w:pStyle w:val="Heading1"/>
      </w:pPr>
      <w:r>
        <w:t>Data Archiving</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including the abo_window_focal_test.py script that implements the ABO focal-window comparison reported here, are available from the corresponding author and will be archived with a persistent DOI before acceptance. Raw-file SHA-256 checksums and all analysis parameters are included in analysis_provenance.json and ancient_abo_provenance.json.</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