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Editors-in-Chief</w:t>
      </w:r>
    </w:p>
    <w:p>
      <w:r>
        <w:t>Human Genetics</w:t>
      </w:r>
    </w:p>
    <w:p>
      <w:r>
        <w:t>Human Genetics Editorial Office, Springer Nature</w:t>
      </w:r>
    </w:p>
    <w:p/>
    <w:p>
      <w:r>
        <w:rPr>
          <w:b/>
        </w:rPr>
        <w:t>Re: Submission of a Research Article</w:t>
      </w:r>
    </w:p>
    <w:p>
      <w:r>
        <w:t>Dear Editors-in-Chief,</w:t>
      </w:r>
    </w:p>
    <w:p>
      <w:r>
        <w:t>I am pleased to submit "Population structure defines the null expectation for pairwise genomic similarity: archaic-segment sharing across 66 human populations" for consideration as a Research Article in Human Genetics.</w:t>
      </w:r>
    </w:p>
    <w:p>
      <w:r>
        <w:t>Pairwise comparisons between populations are a routine currency of human genetics: genetic distance, allele-frequency similarity, haplotype sharing, and archaic-ancestry profiles are all computed pair by pair, and pairs that look unusually similar are readily read as evidence of a specific historical connection. The problem is that the same populations recur across many pairs, so the measurements in a pairwise matrix are not independent. A pair that looks exceptional may simply be sitting where broad population structure places it, and comparing it against an independence-based reference produces exactly the wrong expectation.</w:t>
      </w:r>
    </w:p>
    <w:p>
      <w:r>
        <w:t>The manuscript turns that observation into an operational test. It defines a structural null for pairwise genomic similarity: the complete 66-population matrix is retained, population labels are permuted jointly across rows and columns (the quadratic assignment procedure), each pair's residual from the population-wide model is referenced to the null distribution generated by the same permutations, and the family of pair-level tests is controlled for multiplicity. I do not claim a new permutation method, and I do not claim that population-structure bias is newly discovered; the contribution is an explicit, dependence-aware workflow that makes the statement 'this pair is exceptional' testable.</w:t>
      </w:r>
    </w:p>
    <w:p>
      <w:r>
        <w:t>Applied to high-confidence Neanderthal and Denisovan introgression calls from 3,134 individuals in 66 populations (1000 Genomes Project and Human Genome Diversity Project), the workflow separates two claims that are often conflated: 'this pair looks similar' and 'this pair is more similar than human population structure predicts.' Similarity declines strongly with geographic distance under the permutation null, yet no population pair exceeded the prespecified residual and false-discovery-rate criteria, and the prespecified ABO blood-group region, a locus repeatedly invoked in archaic-connection narratives, did not exceed the genome-wide structural expectation. I am careful to present this as evidence against pair-specific excess similarity in these data, not as evidence that the populations concerned lack shared history.</w:t>
      </w:r>
    </w:p>
    <w:p>
      <w:r>
        <w:t>I believe this fits Human Genetics directly. The journal's stated scope covers population genetics, evolutionary genetics, genetic diversity in human populations, and methods in statistical genetics. The paper addresses all four: it is a human population-genetic study of archaic introgression whose result disciplines how pairwise genomic similarity claims should be read, and it does so with a statistical framework that other human-genetic comparisons can adopt unchanged. The manuscript is deliberately not framed as clinical genetics; its readership is the population- and evolutionary-genetics community the journal serves.</w:t>
      </w:r>
    </w:p>
    <w:p>
      <w:r>
        <w:t>The work is original, is not under consideration elsewhere, and uses de-identified public genomic resources; no new human participants or specimens were recruited. The manuscript explicitly discloses that no separate institutional review determination, community participation, or direct return-of-results process occurred for this secondary analysis. I declare no competing interests and report no external funding.</w:t>
      </w:r>
    </w:p>
    <w:p>
      <w:r>
        <w:t>All analysis code and derived outputs are available through the project repository (https://github.com/bougtoir/denisovan-archaic-dna-analysis), and the source archaic-introgression segment calls are publicly archived in Zenodo. The submission includes separate figure files, editable tables, figure legends in the manuscript, and a complete Supporting Information file.</w:t>
      </w:r>
    </w:p>
    <w:p>
      <w:r>
        <w:t>Sincerely,</w:t>
      </w:r>
    </w:p>
    <w:p>
      <w:r>
        <w:t>Onishi Tatsuki</w:t>
      </w:r>
    </w:p>
    <w:p>
      <w:r>
        <w:t>Data Science and AI Innovation Research Promotion Center, Shiga University, Hikone, Shiga, Japan</w:t>
      </w:r>
    </w:p>
    <w:p>
      <w:r>
        <w:t>Email: bougtoir@gmail.com</w:t>
      </w:r>
    </w:p>
    <w:sectPr w:rsidR="00FC693F" w:rsidRPr="0006063C" w:rsidSect="00034616">
      <w:pgSz w:w="12240" w:h="15840"/>
      <w:pgMar w:top="2268" w:right="2268" w:bottom="2268" w:left="2268"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