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human history or gene flow.</w:t>
      </w:r>
    </w:p>
    <w:p>
      <w:pPr>
        <w:ind w:firstLine="0"/>
      </w:pPr>
      <w:r>
        <w:rPr>
          <w:b/>
        </w:rPr>
        <w:t xml:space="preserve">Keywords: </w:t>
      </w:r>
      <w:r>
        <w:t>population structure; archaic introgression; dyadic data; permutation tests;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spacing w:before="320"/>
        <w:jc w:val="center"/>
      </w:pPr>
      <w:r>
        <w:drawing>
          <wp:inline xmlns:a="http://schemas.openxmlformats.org/drawingml/2006/main" xmlns:pic="http://schemas.openxmlformats.org/drawingml/2006/picture">
            <wp:extent cx="5806440" cy="3983895"/>
            <wp:docPr id="1" name="Picture 1"/>
            <wp:cNvGraphicFramePr>
              <a:graphicFrameLocks noChangeAspect="1"/>
            </wp:cNvGraphicFramePr>
            <a:graphic>
              <a:graphicData uri="http://schemas.openxmlformats.org/drawingml/2006/picture">
                <pic:pic>
                  <pic:nvPicPr>
                    <pic:cNvPr id="0" name="figH1_structural_null_concept.png"/>
                    <pic:cNvPicPr/>
                  </pic:nvPicPr>
                  <pic:blipFill>
                    <a:blip r:embed="rId9"/>
                    <a:stretch>
                      <a:fillRect/>
                    </a:stretch>
                  </pic:blipFill>
                  <pic:spPr>
                    <a:xfrm>
                      <a:off x="0" y="0"/>
                      <a:ext cx="5806440" cy="3983895"/>
                    </a:xfrm>
                    <a:prstGeom prst="rect"/>
                  </pic:spPr>
                </pic:pic>
              </a:graphicData>
            </a:graphic>
          </wp:inline>
        </w:drawing>
      </w:r>
    </w:p>
    <w:p>
      <w:pPr>
        <w:spacing w:before="200" w:line="276" w:lineRule="auto"/>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spacing w:before="320"/>
        <w:jc w:val="center"/>
      </w:pPr>
      <w:r>
        <w:drawing>
          <wp:inline xmlns:a="http://schemas.openxmlformats.org/drawingml/2006/main" xmlns:pic="http://schemas.openxmlformats.org/drawingml/2006/picture">
            <wp:extent cx="5806440" cy="2714541"/>
            <wp:docPr id="2" name="Picture 2"/>
            <wp:cNvGraphicFramePr>
              <a:graphicFrameLocks noChangeAspect="1"/>
            </wp:cNvGraphicFramePr>
            <a:graphic>
              <a:graphicData uri="http://schemas.openxmlformats.org/drawingml/2006/picture">
                <pic:pic>
                  <pic:nvPicPr>
                    <pic:cNvPr id="0" name="fig1_sharing_vs_distance.png"/>
                    <pic:cNvPicPr/>
                  </pic:nvPicPr>
                  <pic:blipFill>
                    <a:blip r:embed="rId10"/>
                    <a:stretch>
                      <a:fillRect/>
                    </a:stretch>
                  </pic:blipFill>
                  <pic:spPr>
                    <a:xfrm>
                      <a:off x="0" y="0"/>
                      <a:ext cx="5806440" cy="2714541"/>
                    </a:xfrm>
                    <a:prstGeom prst="rect"/>
                  </pic:spPr>
                </pic:pic>
              </a:graphicData>
            </a:graphic>
          </wp:inline>
        </w:drawing>
      </w:r>
    </w:p>
    <w:p>
      <w:pPr>
        <w:spacing w:before="200" w:line="276" w:lineRule="auto"/>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before="320"/>
        <w:jc w:val="center"/>
      </w:pPr>
      <w:r>
        <w:drawing>
          <wp:inline xmlns:a="http://schemas.openxmlformats.org/drawingml/2006/main" xmlns:pic="http://schemas.openxmlformats.org/drawingml/2006/picture">
            <wp:extent cx="5806440" cy="2695784"/>
            <wp:docPr id="3" name="Picture 3"/>
            <wp:cNvGraphicFramePr>
              <a:graphicFrameLocks noChangeAspect="1"/>
            </wp:cNvGraphicFramePr>
            <a:graphic>
              <a:graphicData uri="http://schemas.openxmlformats.org/drawingml/2006/picture">
                <pic:pic>
                  <pic:nvPicPr>
                    <pic:cNvPr id="0" name="fig2_sharing_heatmap.png"/>
                    <pic:cNvPicPr/>
                  </pic:nvPicPr>
                  <pic:blipFill>
                    <a:blip r:embed="rId11"/>
                    <a:stretch>
                      <a:fillRect/>
                    </a:stretch>
                  </pic:blipFill>
                  <pic:spPr>
                    <a:xfrm>
                      <a:off x="0" y="0"/>
                      <a:ext cx="5806440" cy="2695784"/>
                    </a:xfrm>
                    <a:prstGeom prst="rect"/>
                  </pic:spPr>
                </pic:pic>
              </a:graphicData>
            </a:graphic>
          </wp:inline>
        </w:drawing>
      </w:r>
    </w:p>
    <w:p>
      <w:pPr>
        <w:spacing w:before="200" w:line="276" w:lineRule="auto"/>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spacing w:before="320"/>
        <w:jc w:val="center"/>
      </w:pPr>
      <w:r>
        <w:drawing>
          <wp:inline xmlns:a="http://schemas.openxmlformats.org/drawingml/2006/main" xmlns:pic="http://schemas.openxmlformats.org/drawingml/2006/picture">
            <wp:extent cx="5806440" cy="2482653"/>
            <wp:docPr id="4" name="Picture 4"/>
            <wp:cNvGraphicFramePr>
              <a:graphicFrameLocks noChangeAspect="1"/>
            </wp:cNvGraphicFramePr>
            <a:graphic>
              <a:graphicData uri="http://schemas.openxmlformats.org/drawingml/2006/picture">
                <pic:pic>
                  <pic:nvPicPr>
                    <pic:cNvPr id="0" name="figH4_residual_evidence.png"/>
                    <pic:cNvPicPr/>
                  </pic:nvPicPr>
                  <pic:blipFill>
                    <a:blip r:embed="rId12"/>
                    <a:stretch>
                      <a:fillRect/>
                    </a:stretch>
                  </pic:blipFill>
                  <pic:spPr>
                    <a:xfrm>
                      <a:off x="0" y="0"/>
                      <a:ext cx="5806440" cy="2482653"/>
                    </a:xfrm>
                    <a:prstGeom prst="rect"/>
                  </pic:spPr>
                </pic:pic>
              </a:graphicData>
            </a:graphic>
          </wp:inline>
        </w:drawing>
      </w:r>
    </w:p>
    <w:p>
      <w:pPr>
        <w:spacing w:before="200" w:line="276" w:lineRule="auto"/>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spacing w:before="320"/>
        <w:jc w:val="center"/>
      </w:pPr>
      <w:r>
        <w:drawing>
          <wp:inline xmlns:a="http://schemas.openxmlformats.org/drawingml/2006/main" xmlns:pic="http://schemas.openxmlformats.org/drawingml/2006/picture">
            <wp:extent cx="5806440" cy="2417213"/>
            <wp:docPr id="5" name="Picture 5"/>
            <wp:cNvGraphicFramePr>
              <a:graphicFrameLocks noChangeAspect="1"/>
            </wp:cNvGraphicFramePr>
            <a:graphic>
              <a:graphicData uri="http://schemas.openxmlformats.org/drawingml/2006/picture">
                <pic:pic>
                  <pic:nvPicPr>
                    <pic:cNvPr id="0" name="figH5_robustness_summary.png"/>
                    <pic:cNvPicPr/>
                  </pic:nvPicPr>
                  <pic:blipFill>
                    <a:blip r:embed="rId13"/>
                    <a:stretch>
                      <a:fillRect/>
                    </a:stretch>
                  </pic:blipFill>
                  <pic:spPr>
                    <a:xfrm>
                      <a:off x="0" y="0"/>
                      <a:ext cx="5806440" cy="2417213"/>
                    </a:xfrm>
                    <a:prstGeom prst="rect"/>
                  </pic:spPr>
                </pic:pic>
              </a:graphicData>
            </a:graphic>
          </wp:inline>
        </w:drawing>
      </w:r>
    </w:p>
    <w:p>
      <w:pPr>
        <w:spacing w:before="200" w:line="276" w:lineRule="auto"/>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subtle structure also biases association and prediction analyses of present-day human genomes (Lawson et al. 2020).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Funding</w:t>
      </w:r>
    </w:p>
    <w:p>
      <w:r>
        <w:t>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Competing Interests</w:t>
      </w:r>
    </w:p>
    <w:p>
      <w:r>
        <w:t>The author declares no competing interests.</w:t>
      </w:r>
    </w:p>
    <w:p>
      <w:pPr>
        <w:pStyle w:val="Heading1"/>
      </w:pPr>
      <w:r>
        <w:t>Data Availability</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including the abo_window_focal_test.py script that implements the ABO focal-window comparison reported here, are available from the corresponding author and will be archived with a persistent DOI before acceptance. Raw-file SHA-256 checksums and all analysis parameters are included in analysis_provenance.json and ancient_abo_provenance.json.</w:t>
      </w:r>
    </w:p>
    <w:p>
      <w:pPr>
        <w:pStyle w:val="Heading1"/>
      </w:pPr>
      <w:r>
        <w:t>Declaration of Generative Artificial Intelligence (AI) in Scientific Writing</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Lawson DJ, Davies NM, Haworth S, Ashraf B, Howe L, Crawford A, Hemani G, Davey Smith G, Timpson NJ (2020) Is population structure in the genetic biobank era irrelevant, a challenge, or an opportunity? Hum Genet 139:23-41. https://doi.org/10.1007/s00439-019-02014-8</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