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/>
      </w:pPr>
      <w:r>
        <w:rPr>
          <w:b/>
        </w:rPr>
        <w:t>Table 1. Positive-residual archaic pairs after false discovery rate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"/>
        <w:gridCol w:w="963"/>
        <w:gridCol w:w="963"/>
        <w:gridCol w:w="963"/>
        <w:gridCol w:w="963"/>
        <w:gridCol w:w="963"/>
        <w:gridCol w:w="963"/>
        <w:gridCol w:w="963"/>
      </w:tblGrid>
      <w:tr>
        <w:tc>
          <w:tcPr>
            <w:tcW w:type="dxa" w:w="963"/>
            <w:shd w:fill="D9EAF7"/>
          </w:tcPr>
          <w:p>
            <w:pPr>
              <w:spacing w:line="240" w:lineRule="auto"/>
            </w:pPr>
            <w:r>
              <w:rPr>
                <w:rFonts w:ascii="Arial" w:hAnsi="Arial"/>
                <w:b/>
                <w:sz w:val="17"/>
              </w:rPr>
              <w:t>Ancestry</w:t>
            </w:r>
          </w:p>
        </w:tc>
        <w:tc>
          <w:tcPr>
            <w:tcW w:type="dxa" w:w="963"/>
            <w:shd w:fill="D9EAF7"/>
          </w:tcPr>
          <w:p>
            <w:pPr>
              <w:spacing w:line="240" w:lineRule="auto"/>
            </w:pPr>
            <w:r>
              <w:rPr>
                <w:rFonts w:ascii="Arial" w:hAnsi="Arial"/>
                <w:b/>
                <w:sz w:val="17"/>
              </w:rPr>
              <w:t>Population 1</w:t>
            </w:r>
          </w:p>
        </w:tc>
        <w:tc>
          <w:tcPr>
            <w:tcW w:type="dxa" w:w="963"/>
            <w:shd w:fill="D9EAF7"/>
          </w:tcPr>
          <w:p>
            <w:pPr>
              <w:spacing w:line="240" w:lineRule="auto"/>
            </w:pPr>
            <w:r>
              <w:rPr>
                <w:rFonts w:ascii="Arial" w:hAnsi="Arial"/>
                <w:b/>
                <w:sz w:val="17"/>
              </w:rPr>
              <w:t>Population 2</w:t>
            </w:r>
          </w:p>
        </w:tc>
        <w:tc>
          <w:tcPr>
            <w:tcW w:type="dxa" w:w="963"/>
            <w:shd w:fill="D9EAF7"/>
          </w:tcPr>
          <w:p>
            <w:pPr>
              <w:spacing w:line="240" w:lineRule="auto"/>
            </w:pPr>
            <w:r>
              <w:rPr>
                <w:rFonts w:ascii="Arial" w:hAnsi="Arial"/>
                <w:b/>
                <w:sz w:val="17"/>
              </w:rPr>
              <w:t>Region 1</w:t>
            </w:r>
          </w:p>
        </w:tc>
        <w:tc>
          <w:tcPr>
            <w:tcW w:type="dxa" w:w="963"/>
            <w:shd w:fill="D9EAF7"/>
          </w:tcPr>
          <w:p>
            <w:pPr>
              <w:spacing w:line="240" w:lineRule="auto"/>
            </w:pPr>
            <w:r>
              <w:rPr>
                <w:rFonts w:ascii="Arial" w:hAnsi="Arial"/>
                <w:b/>
                <w:sz w:val="17"/>
              </w:rPr>
              <w:t>Region 2</w:t>
            </w:r>
          </w:p>
        </w:tc>
        <w:tc>
          <w:tcPr>
            <w:tcW w:type="dxa" w:w="963"/>
            <w:shd w:fill="D9EAF7"/>
          </w:tcPr>
          <w:p>
            <w:pPr>
              <w:spacing w:line="240" w:lineRule="auto"/>
            </w:pPr>
            <w:r>
              <w:rPr>
                <w:rFonts w:ascii="Arial" w:hAnsi="Arial"/>
                <w:b/>
                <w:sz w:val="17"/>
              </w:rPr>
              <w:t>Distance (km)</w:t>
            </w:r>
          </w:p>
        </w:tc>
        <w:tc>
          <w:tcPr>
            <w:tcW w:type="dxa" w:w="963"/>
            <w:shd w:fill="D9EAF7"/>
          </w:tcPr>
          <w:p>
            <w:pPr>
              <w:spacing w:line="240" w:lineRule="auto"/>
            </w:pPr>
            <w:r>
              <w:rPr>
                <w:rFonts w:ascii="Arial" w:hAnsi="Arial"/>
                <w:b/>
                <w:sz w:val="17"/>
              </w:rPr>
              <w:t>Sharing (r)</w:t>
            </w:r>
          </w:p>
        </w:tc>
        <w:tc>
          <w:tcPr>
            <w:tcW w:type="dxa" w:w="963"/>
            <w:shd w:fill="D9EAF7"/>
          </w:tcPr>
          <w:p>
            <w:pPr>
              <w:spacing w:line="240" w:lineRule="auto"/>
            </w:pPr>
            <w:r>
              <w:rPr>
                <w:rFonts w:ascii="Arial" w:hAnsi="Arial"/>
                <w:b/>
                <w:sz w:val="17"/>
              </w:rPr>
              <w:t>z-score</w:t>
            </w:r>
          </w:p>
        </w:tc>
      </w:tr>
      <w:tr>
        <w:tc>
          <w:tcPr>
            <w:tcW w:type="dxa" w:w="963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—</w:t>
            </w:r>
          </w:p>
        </w:tc>
        <w:tc>
          <w:tcPr>
            <w:tcW w:type="dxa" w:w="963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No qualifying pair</w:t>
            </w:r>
          </w:p>
        </w:tc>
        <w:tc>
          <w:tcPr>
            <w:tcW w:type="dxa" w:w="963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—</w:t>
            </w:r>
          </w:p>
        </w:tc>
        <w:tc>
          <w:tcPr>
            <w:tcW w:type="dxa" w:w="963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—</w:t>
            </w:r>
          </w:p>
        </w:tc>
        <w:tc>
          <w:tcPr>
            <w:tcW w:type="dxa" w:w="963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—</w:t>
            </w:r>
          </w:p>
        </w:tc>
        <w:tc>
          <w:tcPr>
            <w:tcW w:type="dxa" w:w="963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—</w:t>
            </w:r>
          </w:p>
        </w:tc>
        <w:tc>
          <w:tcPr>
            <w:tcW w:type="dxa" w:w="963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—</w:t>
            </w:r>
          </w:p>
        </w:tc>
        <w:tc>
          <w:tcPr>
            <w:tcW w:type="dxa" w:w="963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No z&gt;2 and q&lt;0.10 result for either ancestry</w:t>
            </w:r>
          </w:p>
        </w:tc>
      </w:tr>
    </w:tbl>
    <w:p>
      <w:pPr>
        <w:spacing w:line="240" w:lineRule="auto"/>
      </w:pPr>
      <w:r>
        <w:rPr>
          <w:sz w:val="18"/>
        </w:rPr>
        <w:t>Note. The prespecified family contains all non-admixed population pairs. A supported positive outlier required z&gt;2 and Benjamini-Hochberg q&lt;0.10 for Neanderthal or Denisovan ancestry; complete nominal rankings and dependence-aware model results are provided in Supplementary Data.</w:t>
      </w:r>
    </w:p>
    <w:sectPr w:rsidR="00FC693F" w:rsidRPr="0006063C" w:rsidSect="00034616">
      <w:pgSz w:w="12240" w:h="15840"/>
      <w:pgMar w:top="2268" w:right="2268" w:bottom="2268" w:left="2268" w:header="720" w:footer="720" w:gutter="0"/>
      <w:cols w:space="720"/>
      <w:docGrid w:linePitch="360"/>
      <w:lnNumType w:countBy="1" w:restart="continuous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