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Editors</w:t>
      </w:r>
    </w:p>
    <w:p>
      <w:r>
        <w:t>Molecular Ecology</w:t>
      </w:r>
    </w:p>
    <w:p>
      <w:r>
        <w:t>Wiley</w:t>
      </w:r>
    </w:p>
    <w:p/>
    <w:p>
      <w:r>
        <w:rPr>
          <w:b/>
        </w:rPr>
        <w:t>Re: Submission of an Original Article</w:t>
      </w:r>
    </w:p>
    <w:p>
      <w:r>
        <w:t>Dear Editors,</w:t>
      </w:r>
    </w:p>
    <w:p>
      <w:r>
        <w:t>I am pleased to submit "Population structure defines the null expectation for pairwise genomic similarity: archaic-segment sharing across 66 human populations" for consideration as an Original Article in Molecular Ecology.</w:t>
      </w:r>
    </w:p>
    <w:p>
      <w:r>
        <w:t>Pairwise genomic comparisons are a basic instrument of population genetics and evolutionary genomics—genetic distance, allele-frequency similarity, haplotype sharing, introgression profiles, and landscape-genomic distance matrices are all computed dyadically—but the same populations recur across many pairs, so the entries of a pairwise matrix are not independent. A pair that looks unusually similar may simply sit where broad population structure places it, yet such pairs are often read as evidence of a specific evolutionary or historical connection.</w:t>
      </w:r>
    </w:p>
    <w:p>
      <w:r>
        <w:t>Population structure and matrix-permutation methods (Mantel-type tests, QAP) are established, but pair-specific genomic claims are still commonly interpreted without an explicit relational null that preserves repeated-unit dependence. This manuscript operationalises that null: the complete pairwise matrix defines the structural expectation, population-label permutation preserves dependence, pair-level residuals quantify excess similarity, and false-discovery-rate control handles multiplicity. I do not claim QAP is new, and I do not claim population structure is newly discovered; the contribution is an inferential framing and workflow that makes the statement “this pair is exceptional” testable, together with its empirical demonstration.</w:t>
      </w:r>
    </w:p>
    <w:p>
      <w:r>
        <w:t>Applied to high-confidence Neanderthal and Denisovan introgression calls from 3,134 individuals in 66 human populations (2,145 pairs; 1000 Genomes Project and Human Genome Diversity Project), similarity declines strongly with geographic distance under the permutation null, yet no pair remains supported as exceptional after dependence-aware inference and FDR control, and the prespecified ABO blood-group region—a focal locus invoked in archaic-connection narratives—is likewise unexceptional relative to the genome-wide structural background. I present this as evidence that visually and biologically compelling pairwise similarities can be absorbed by population-wide structure, not as evidence that the populations concerned lack shared history.</w:t>
      </w:r>
    </w:p>
    <w:p>
      <w:r>
        <w:t>I believe the paper fits the Aims and Scope of Molecular Ecology. It uses molecular genetic data to address a question of broad evolutionary interest: how exceptional pairwise genomic similarity should be judged against population structure and phylogeography. The same inferential vulnerability arises wherever a fixed set of populations, demes, or sampling units is compared pair by pair—in introgression studies, population connectivity analyses, hybridisation, and spatial genetic structure—so the workflow is relevant beyond the human system used to demonstrate it. The negative result is itself informative: it shows why a structural expectation is needed before pair-specific evolutionary explanations are offered.</w:t>
      </w:r>
    </w:p>
    <w:p>
      <w:r>
        <w:t>The work is original, is not under consideration elsewhere, and uses de-identified public genomic resources; no new human participants or specimens were recruited. The manuscript explicitly discloses that no separate institutional review determination, community participation, or direct return-of-results process occurred for this secondary analysis. I declare no competing interests and report no external funding.</w:t>
      </w:r>
    </w:p>
    <w:p>
      <w:r>
        <w:t>All analysis code and derived outputs are publicly available through the project repository (https://github.com/bougtoir/denisovan-archaic-dna-analysis, MIT license); the source archaic-introgression segment calls are publicly archived in Zenodo, and the derived data archive supporting the manuscript is included with the submission for editor and referee review. The submission includes separate figure files, editable tables, and a complete Supporting Information file.</w:t>
      </w:r>
    </w:p>
    <w:p>
      <w:r>
        <w:t>Sincerely,</w:t>
      </w:r>
    </w:p>
    <w:p>
      <w:r>
        <w:t>Onishi Tatsuki</w:t>
      </w:r>
    </w:p>
    <w:p>
      <w:r>
        <w:t>Data Science and AI Innovation Research Promotion Center, Shiga University, Hikone, Shiga, Japan</w:t>
      </w:r>
    </w:p>
    <w:p>
      <w:r>
        <w:t>Email: bougtoir@gmail.com</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