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history or gene flow, a caution that applies wherever a fixed set of populations, strains, or samples is compared pair by pair.</w:t>
      </w:r>
    </w:p>
    <w:p>
      <w:pPr>
        <w:ind w:firstLine="0"/>
      </w:pPr>
      <w:r>
        <w:rPr>
          <w:b/>
        </w:rPr>
        <w:t xml:space="preserve">Keywords: </w:t>
      </w:r>
      <w:r>
        <w:t>population structure; pairwise genomic similarity; permutation test; archaic introgression; isolation by distance; ABO blood group</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 The same construction appears wherever populations, demes, or sampling units are compared through a distance or similarity matrix, as in landscape-genomic and isolation-by-environment analyses (Manel et al., 2003; Wang &amp; Bradburd, 2014).</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et al., 2007). The behaviour and limitations of these tests in spatial genetic settings are well described (Legendre &amp; Fortin, 2010; Guillot &amp;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&amp;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&amp;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&amp;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&amp; Fortin, 2010; Guillot &amp;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et al., 2007). The Benjamini-Hochberg procedure was applied jointly to all non-admixed pairs within each ancestry analysis to control the FDR (Benjamini &amp;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&amp; Fortin, 2010; Guillot &amp; Rousset 2013).</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&amp; Chikhi, 2025), and subtle structure also biases association and prediction analyses of present-day human genomes (Lawson et al., 2020). Statistics computed between archaic and present-day samples are interpretable only within an assumed demographic context (Ortega-Del Vecchyo &amp;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&amp;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&amp;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References</w:t>
      </w:r>
    </w:p>
    <w:p>
      <w:pPr>
        <w:spacing w:line="276" w:lineRule="auto" w:after="80"/>
        <w:ind w:hanging="360" w:left="360"/>
      </w:pPr>
      <w:r>
        <w:rPr>
          <w:sz w:val="20"/>
        </w:rPr>
        <w:t>1000 Genomes Project Consortium (2015). A global reference for human genetic variation. Nature, 526(7571), 68–74. https://doi.org/10.1038/nature15393</w:t>
      </w:r>
    </w:p>
    <w:p>
      <w:pPr>
        <w:spacing w:line="276" w:lineRule="auto" w:after="80"/>
        <w:ind w:hanging="360" w:left="360"/>
      </w:pPr>
      <w:r>
        <w:rPr>
          <w:sz w:val="20"/>
        </w:rPr>
        <w:t>Benjamini, Y., &amp; Hochberg, Y. (1995). Controlling the false discovery rate: a practical and powerful approach to multiple testing. Journal of the Royal Statistical Society Series B: Statistical Methodology, 57(1), 289–300. https://doi.org/10.1111/j.2517-6161.1995.tb02031.x</w:t>
      </w:r>
    </w:p>
    <w:p>
      <w:pPr>
        <w:spacing w:line="276" w:lineRule="auto" w:after="80"/>
        <w:ind w:hanging="360" w:left="360"/>
      </w:pPr>
      <w:r>
        <w:rPr>
          <w:sz w:val="20"/>
        </w:rPr>
        <w:t>Bergström, A., McCarthy, S. A., Hui, R., Almarri, M. A., Ayub, Q., Danecek, P., Chen, Y., Felkel, S., Hallast, P., Kamm, J., Blanché, H., Deleuze, J. F., Cann, H., Mallick, S., Reich, D., Sandhu, M. S., Skoglund, P., Scally, A., Xue, Y., Durbin, R., &amp; Tyler-Smith, C. (2020). Insights into human genetic variation and population history from 929 diverse genomes. Science, 367(6484), eaay5012. https://doi.org/10.1126/science.aay5012</w:t>
      </w:r>
    </w:p>
    <w:p>
      <w:pPr>
        <w:spacing w:line="276" w:lineRule="auto" w:after="80"/>
        <w:ind w:hanging="360" w:left="360"/>
      </w:pPr>
      <w:r>
        <w:rPr>
          <w:sz w:val="20"/>
        </w:rPr>
        <w:t>Calafell, F., Roubinet, F., Ramírez-Soriano, A., Saitou, N., Bertranpetit, J., &amp; Blancher, A. (2008). Evolutionary dynamics of the human ABO gene. Human Genetics, 124(2), 123–135. https://doi.org/10.1007/s00439-008-0530-8</w:t>
      </w:r>
    </w:p>
    <w:p>
      <w:pPr>
        <w:spacing w:line="276" w:lineRule="auto" w:after="80"/>
        <w:ind w:hanging="360" w:left="360"/>
      </w:pPr>
      <w:r>
        <w:rPr>
          <w:sz w:val="20"/>
        </w:rPr>
        <w:t>Carroll, S. R., Garba, I., Figueroa-Rodríguez, O. L., Holbrook, J., Lovett, R., Materechera, S., Parsons, M., Raseroka, K., Rodriguez-Lonebear, D., Rowe, R., Sara, R., Walker, J. D., Anderson, J., &amp; Hudson, M. (2020). The CARE Principles for Indigenous Data Governance. Data Science Journal, 19, 43. https://doi.org/10.5334/dsj-2020-043</w:t>
      </w:r>
    </w:p>
    <w:p>
      <w:pPr>
        <w:spacing w:line="276" w:lineRule="auto" w:after="80"/>
        <w:ind w:hanging="360" w:left="360"/>
      </w:pPr>
      <w:r>
        <w:rPr>
          <w:sz w:val="20"/>
        </w:rPr>
        <w:t>Claw, K. G., Anderson, M. Z., Begay, R. L., Tsosie, K. S., Fox, K., Garrison, N. A., Bader, A. C., Bardill, J., Bolnick, D. A., Brooks, J., Cordova, A., Malhi, R. S., Nakatsuka, N., Neller, A., Raff, J. A., Singson, J., TallBear, K., Vargas, T., &amp; Yracheta, J. M. (2018). A framework for enhancing ethical genomic research with Indigenous communities. Nature Communications, 9(1), 2957. https://doi.org/10.1038/s41467-018-05188-3</w:t>
      </w:r>
    </w:p>
    <w:p>
      <w:pPr>
        <w:spacing w:line="276" w:lineRule="auto" w:after="80"/>
        <w:ind w:hanging="360" w:left="360"/>
      </w:pPr>
      <w:r>
        <w:rPr>
          <w:sz w:val="20"/>
        </w:rPr>
        <w:t>Condemi, S., Mazières, S., Faux, P., Costedoat, C., Ruiz-Linares, A., Bailly, P., &amp; Chiaroni, J. (2021). Blood groups of Neandertals and Denisova decrypted. PLOS ONE, 16(7), e0254175. https://doi.org/10.1371/journal.pone.0254175</w:t>
      </w:r>
    </w:p>
    <w:p>
      <w:pPr>
        <w:spacing w:line="276" w:lineRule="auto" w:after="80"/>
        <w:ind w:hanging="360" w:left="360"/>
      </w:pPr>
      <w:r>
        <w:rPr>
          <w:sz w:val="20"/>
        </w:rPr>
        <w:t>Dekker, D., Krackhardt, D., &amp; Snijders, T. A. B. (2007). Sensitivity of MRQAP Tests to Collinearity and Autocorrelation Conditions. Psychometrika, 72(4), 563–581. https://doi.org/10.1007/s11336-007-9016-1</w:t>
      </w:r>
    </w:p>
    <w:p>
      <w:pPr>
        <w:spacing w:line="276" w:lineRule="auto" w:after="80"/>
        <w:ind w:hanging="360" w:left="360"/>
      </w:pPr>
      <w:r>
        <w:rPr>
          <w:sz w:val="20"/>
        </w:rPr>
        <w:t>Green, R. E., Krause, J., Briggs, A. W., Maricic, T., Stenzel, U., Kircher, M., Patterson, N., Li, H., Zhai, W., Fritz, M. H. Y., Hansen, N. F., Durand, E. Y., Malaspinas, A. S., Jensen, J. D., Marques-Bonet, T., Alkan, C., Prüfer, K., Meyer, M., Burbano, H. A., Good, J. M., Schultz, R., Aximu-Petri, A., Butthof, A., Höber, B., Höffner, B., Siegemund, M., Weihmann, A., Nusbaum, C., Lander, E. S., Russ, C., Novod, N., Affourtit, J., Egholm, M., Verna, C., Rudan, P., Brajkovic, D., Kucan, Ž., Gušic, I., Doronichev, V. B., Golovanova, L. V., Lalueza-Fox, C., de la Rasilla, M., Fortea, J., Rosas, A., Schmitz, R. W., Johnson, P. L. F., Eichler, E. E., Falush, D., Birney, E., Mullikin, J. C., Slatkin, M., Nielsen, R., Kelso, J., Lachmann, M., Reich, D., &amp; Pääbo, S. (2010). A Draft Sequence of the Neandertal Genome. Science, 328(5979), 710–722. https://doi.org/10.1126/science.1188021</w:t>
      </w:r>
    </w:p>
    <w:p>
      <w:pPr>
        <w:spacing w:line="276" w:lineRule="auto" w:after="80"/>
        <w:ind w:hanging="360" w:left="360"/>
      </w:pPr>
      <w:r>
        <w:rPr>
          <w:sz w:val="20"/>
        </w:rPr>
        <w:t>Guillot, G., &amp; Rousset, F. (2013). Dismantling the Mantel tests. Methods in Ecology and Evolution, 4(4), 336–344. https://doi.org/10.1111/2041-210x.12018</w:t>
      </w:r>
    </w:p>
    <w:p>
      <w:pPr>
        <w:spacing w:line="276" w:lineRule="auto" w:after="80"/>
        <w:ind w:hanging="360" w:left="360"/>
      </w:pPr>
      <w:r>
        <w:rPr>
          <w:sz w:val="20"/>
        </w:rPr>
        <w:t>Halverson, M. S., &amp; Bolnick, D. A. (2008). An ancient DNA test of a founder effect in Native American ABO blood group frequencies. American Journal of Physical Anthropology, 137(3), 342–347. https://doi.org/10.1002/ajpa.20887</w:t>
      </w:r>
    </w:p>
    <w:p>
      <w:pPr>
        <w:spacing w:line="276" w:lineRule="auto" w:after="80"/>
        <w:ind w:hanging="360" w:left="360"/>
      </w:pPr>
      <w:r>
        <w:rPr>
          <w:sz w:val="20"/>
        </w:rPr>
        <w:t>Iasi, L. N. M., Chintalapati, M., Skov, L., Mesa, A. B., Hajdinjak, M., Peter, B. M., &amp; Moorjani, P. (2024). Neanderthal ancestry through time: Insights from genomes of ancient and present-day humans. Science, 386(6727), eadq3010. https://doi.org/10.1126/science.adq3010</w:t>
      </w:r>
    </w:p>
    <w:p>
      <w:pPr>
        <w:spacing w:line="276" w:lineRule="auto" w:after="80"/>
        <w:ind w:hanging="360" w:left="360"/>
      </w:pPr>
      <w:r>
        <w:rPr>
          <w:sz w:val="20"/>
        </w:rPr>
        <w:t>Jacobs, G. S., Hudjashov, G., Saag, L., Kusuma, P., Darusallam, C. C., Lawson, D. J., Mondal, M., Pagani, L., Ricaut, F. X., Stoneking, M., Metspalu, M., Sudoyo, H., Lansing, J. S., &amp; Cox, M. P. (2019). Multiple deeply divergent Denisovan ancestries in Papuans. Cell, 177(4), 1010–1021.e32. https://doi.org/10.1016/j.cell.2019.02.035</w:t>
      </w:r>
    </w:p>
    <w:p>
      <w:pPr>
        <w:spacing w:line="276" w:lineRule="auto" w:after="80"/>
        <w:ind w:hanging="360" w:left="360"/>
      </w:pPr>
      <w:r>
        <w:rPr>
          <w:sz w:val="20"/>
        </w:rPr>
        <w:t>Krackhardt, D. (1988). Predicting with networks: nonparametric multiple regression analysis of dyadic data. Social Networks, 10(4), 359–381. https://doi.org/10.1016/0378-8733(88)90004-4</w:t>
      </w:r>
    </w:p>
    <w:p>
      <w:pPr>
        <w:spacing w:line="276" w:lineRule="auto" w:after="80"/>
        <w:ind w:hanging="360" w:left="360"/>
      </w:pPr>
      <w:r>
        <w:rPr>
          <w:sz w:val="20"/>
        </w:rPr>
        <w:t>Lawson, D. J., Davies, N. M., Haworth, S., Ashraf, B., Howe, L., Crawford, A., Hemani, G., Davey Smith, G., &amp; Timpson, N. J. (2020). Is population structure in the genetic biobank era irrelevant, a challenge, or an opportunity? Human Genetics, 139(1), 23–41. https://doi.org/10.1007/s00439-019-02014-8</w:t>
      </w:r>
    </w:p>
    <w:p>
      <w:pPr>
        <w:spacing w:line="276" w:lineRule="auto" w:after="80"/>
        <w:ind w:hanging="360" w:left="360"/>
      </w:pPr>
      <w:r>
        <w:rPr>
          <w:sz w:val="20"/>
        </w:rPr>
        <w:t>Legendre, P., &amp; Fortin, M. (2010). Comparison of the Mantel test and alternative approaches for detecting complex multivariate relationships in the spatial analysis of genetic data. Molecular Ecology Resources, 10(5), 831–844. https://doi.org/10.1111/j.1755-0998.2010.02866.x</w:t>
      </w:r>
    </w:p>
    <w:p>
      <w:pPr>
        <w:spacing w:line="276" w:lineRule="auto" w:after="80"/>
        <w:ind w:hanging="360" w:left="360"/>
      </w:pPr>
      <w:r>
        <w:rPr>
          <w:sz w:val="20"/>
        </w:rPr>
        <w:t>Manel, S., Schwartz, M. K., Luikart, G., &amp; Taberlet, P. (2003). Landscape genetics: combining landscape ecology and population genetics. Trends in Ecology &amp; Evolution, 18(4), 189–197. https://doi.org/10.1016/s0169-5347(03)00008-9</w:t>
      </w:r>
    </w:p>
    <w:p>
      <w:pPr>
        <w:spacing w:line="276" w:lineRule="auto" w:after="80"/>
        <w:ind w:hanging="360" w:left="360"/>
      </w:pPr>
      <w:r>
        <w:rPr>
          <w:sz w:val="20"/>
        </w:rPr>
        <w:t>Mantel, N. (1967). The detection of disease clustering and a generalized regression approach. Cancer Research, 27, 209–220.</w:t>
      </w:r>
    </w:p>
    <w:p>
      <w:pPr>
        <w:spacing w:line="276" w:lineRule="auto" w:after="80"/>
        <w:ind w:hanging="360" w:left="360"/>
      </w:pPr>
      <w:r>
        <w:rPr>
          <w:sz w:val="20"/>
        </w:rPr>
        <w:t>Mazet, O., Rodríguez, W., Grusea, S., Boitard, S., &amp; Chikhi, L. (2016). On the importance of being structured: instantaneous coalescence rates and human evolution—lessons for ancestral population size inference Heredity, 116(4), 362–371. https://doi.org/10.1038/hdy.2015.104</w:t>
      </w:r>
    </w:p>
    <w:p>
      <w:pPr>
        <w:spacing w:line="276" w:lineRule="auto" w:after="80"/>
        <w:ind w:hanging="360" w:left="360"/>
      </w:pPr>
      <w:r>
        <w:rPr>
          <w:sz w:val="20"/>
        </w:rPr>
        <w:t>Ohashi, J., Naka, I., Kimura, R., Tokunaga, K., Yamauchi, T., Natsuhara, K., Furusawa, T., Yamamoto, R., Nakazawa, M., Ishida, T., &amp; Ohtsuka, R. (2006). Polymorphisms in the ABO blood group gene in three populations in the New Georgia group of the Solomon Islands. Journal of Human Genetics, 51(5), 407–411. https://doi.org/10.1007/s10038-006-0375-8</w:t>
      </w:r>
    </w:p>
    <w:p>
      <w:pPr>
        <w:spacing w:line="276" w:lineRule="auto" w:after="80"/>
        <w:ind w:hanging="360" w:left="360"/>
      </w:pPr>
      <w:r>
        <w:rPr>
          <w:sz w:val="20"/>
        </w:rPr>
        <w:t>Ortega-Del Vecchyo, D., &amp; Slatkin, M. (2019). FST between archaic and present-day samples. Heredity, 122(6), 711–718. https://doi.org/10.1038/s41437-018-0169-8</w:t>
      </w:r>
    </w:p>
    <w:p>
      <w:pPr>
        <w:spacing w:line="276" w:lineRule="auto" w:after="80"/>
        <w:ind w:hanging="360" w:left="360"/>
      </w:pPr>
      <w:r>
        <w:rPr>
          <w:sz w:val="20"/>
        </w:rPr>
        <w:t>Petr, M., Pääbo, S., Kelso, J., &amp; Vernot, B. (2019). Limits of long-term selection against Neandertal introgression. Proceedings of the National Academy of Sciences, 116(5), 1639–1644. https://doi.org/10.1073/pnas.1814338116</w:t>
      </w:r>
    </w:p>
    <w:p>
      <w:pPr>
        <w:spacing w:line="276" w:lineRule="auto" w:after="80"/>
        <w:ind w:hanging="360" w:left="360"/>
      </w:pPr>
      <w:r>
        <w:rPr>
          <w:sz w:val="20"/>
        </w:rPr>
        <w:t>Prüfer, K., de Filippo, C., Grote, S., Mafessoni, F., Korlević, P., Hajdinjak, M., Vernot, B., Skov, L., Hsieh, P., Peyrégne, S., Reher, D., Hopfe, C., Nagel, S., Maricic, T., Fu, Q., Theunert, C., Rogers, R., Skoglund, P., Chintalapati, M., Dannemann, M., Nelson, B. J., Key, F. M., Rudan, P., Kućan, Ž., Gušić, I., Golovanova, L. V., Doronichev, V. B., Patterson, N., Reich, D., Eichler, E. E., Slatkin, M., Schierup, M. H., Andrés, A. M., Kelso, J., Meyer, M., &amp; Pääbo, S. (2017). A high-coverage Neandertal genome from Vindija Cave in Croatia. Science, 358(6363), 655–658. https://doi.org/10.1126/science.aao1887</w:t>
      </w:r>
    </w:p>
    <w:p>
      <w:pPr>
        <w:spacing w:line="276" w:lineRule="auto" w:after="80"/>
        <w:ind w:hanging="360" w:left="360"/>
      </w:pPr>
      <w:r>
        <w:rPr>
          <w:sz w:val="20"/>
        </w:rPr>
        <w:t>Quilodrán, C. S., Rio, J., Tsoupas, A., &amp; Currat, M. (2023). Past human expansions shaped the spatial pattern of Neanderthal ancestry. Science Advances, 9(42), eadg9817. https://doi.org/10.1126/sciadv.adg9817</w:t>
      </w:r>
    </w:p>
    <w:p>
      <w:pPr>
        <w:spacing w:line="276" w:lineRule="auto" w:after="80"/>
        <w:ind w:hanging="360" w:left="360"/>
      </w:pPr>
      <w:r>
        <w:rPr>
          <w:sz w:val="20"/>
        </w:rPr>
        <w:t>Reich, D., Green, R. E., Kircher, M., Krause, J., Patterson, N., Durand, E. Y., Viola, B., Briggs, A. W., Stenzel, U., Johnson, P. L. F., Maricic, T., Good, J. M., Marques-Bonet, T., Alkan, C., Fu, Q., Mallick, S., Li, H., Meyer, M., Eichler, E. E., Stoneking, M., Richards, M., Talamo, S., Shunkov, M. V., Derevianko, A. P., Hublin, J. J., Kelso, J., Slatkin, M., &amp; Pääbo, S. (2010). Genetic history of an archaic hominin group from Denisova Cave in Siberia. Nature, 468(7327), 1053–1060. https://doi.org/10.1038/nature09710</w:t>
      </w:r>
    </w:p>
    <w:p>
      <w:pPr>
        <w:spacing w:line="276" w:lineRule="auto" w:after="80"/>
        <w:ind w:hanging="360" w:left="360"/>
      </w:pPr>
      <w:r>
        <w:rPr>
          <w:sz w:val="20"/>
        </w:rPr>
        <w:t>Rousset, F. (1997). Genetic differentiation and estimation of gene flow from F-statistics under isolation by distance. Genetics, 145(4), 1219–1228. https://doi.org/10.1093/genetics/145.4.1219</w:t>
      </w:r>
    </w:p>
    <w:p>
      <w:pPr>
        <w:spacing w:line="276" w:lineRule="auto" w:after="80"/>
        <w:ind w:hanging="360" w:left="360"/>
      </w:pPr>
      <w:r>
        <w:rPr>
          <w:sz w:val="20"/>
        </w:rPr>
        <w:t>Sankararaman, S., Mallick, S., Dannemann, M., Prüfer, K., Kelso, J., Pääbo, S., Patterson, N., &amp; Reich, D. (2014). The genomic landscape of Neanderthal ancestry in present-day humans. Nature, 507(7492), 354–357. https://doi.org/10.1038/nature12961</w:t>
      </w:r>
    </w:p>
    <w:p>
      <w:pPr>
        <w:spacing w:line="276" w:lineRule="auto" w:after="80"/>
        <w:ind w:hanging="360" w:left="360"/>
      </w:pPr>
      <w:r>
        <w:rPr>
          <w:sz w:val="20"/>
        </w:rPr>
        <w:t>Sankararaman, S., Mallick, S., Patterson, N., &amp; Reich, D. (2016). The combined landscape of Denisovan and Neanderthal ancestry in present-day humans. Current Biology, 26(9), 1241–1247. https://doi.org/10.1016/j.cub.2016.03.037</w:t>
      </w:r>
    </w:p>
    <w:p>
      <w:pPr>
        <w:spacing w:line="276" w:lineRule="auto" w:after="80"/>
        <w:ind w:hanging="360" w:left="360"/>
      </w:pPr>
      <w:r>
        <w:rPr>
          <w:sz w:val="20"/>
        </w:rPr>
        <w:t>Ségurel, L., Thompson, E. E., Flutre, T., Lovstad, J., Venkat, A., Margulis, S. W., Moyse, J., Ross, S., Gamble, K., Sella, G., Ober, C., &amp; Przeworski, M. (2012). The ABO blood group is a trans-species polymorphism in primates. Proceedings of the National Academy of Sciences, 109(45), 18493–18498. https://doi.org/10.1073/pnas.1210603109</w:t>
      </w:r>
    </w:p>
    <w:p>
      <w:pPr>
        <w:spacing w:line="276" w:lineRule="auto" w:after="80"/>
        <w:ind w:hanging="360" w:left="360"/>
      </w:pPr>
      <w:r>
        <w:rPr>
          <w:sz w:val="20"/>
        </w:rPr>
        <w:t>Skov, L., Hui, R., Shchur, V., Hobolth, A., Scally, A., Schierup, M. H., &amp; Durbin, R. (2018). Detecting archaic introgression using an unadmixed outgroup. PLOS Genetics, 14(9), e1007641. https://doi.org/10.1371/journal.pgen.1007641</w:t>
      </w:r>
    </w:p>
    <w:p>
      <w:pPr>
        <w:spacing w:line="276" w:lineRule="auto" w:after="80"/>
        <w:ind w:hanging="360" w:left="360"/>
      </w:pPr>
      <w:r>
        <w:rPr>
          <w:sz w:val="20"/>
        </w:rPr>
        <w:t>Tournebize, R., &amp; Chikhi, L. (2025). Ignoring population structure in hominin evolutionary models can lead to the inference of spurious admixture events. Nature Ecology &amp; Evolution, 9(2), 225–236. https://doi.org/10.1038/s41559-024-02591-6</w:t>
      </w:r>
    </w:p>
    <w:p>
      <w:pPr>
        <w:spacing w:line="276" w:lineRule="auto" w:after="80"/>
        <w:ind w:hanging="360" w:left="360"/>
      </w:pPr>
      <w:r>
        <w:rPr>
          <w:sz w:val="20"/>
        </w:rPr>
        <w:t>Wang, I. J., &amp; Bradburd, G. S. (2014). Isolation by environment. Molecular Ecology, 23(23), 5649–5662. https://doi.org/10.1111/mec.12938</w:t>
      </w:r>
    </w:p>
    <w:p>
      <w:pPr>
        <w:spacing w:line="276" w:lineRule="auto" w:after="80"/>
        <w:ind w:hanging="360" w:left="360"/>
      </w:pPr>
      <w:r>
        <w:rPr>
          <w:sz w:val="20"/>
        </w:rPr>
        <w:t>Wright, S. (1943). Isolation by distance. Genetics, 28(2), 114–138. https://doi.org/10.1093/genetics/28.2.114</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Data Accessibility and Benefit-Sharing</w:t>
      </w:r>
    </w:p>
    <w:p>
      <w:pPr>
        <w:pStyle w:val="Heading2"/>
      </w:pPr>
      <w:r>
        <w:t>Data Accessibility Statement</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are publicly available at https://github.com/bougtoir/denisovan-archaic-dna-analysis under the MIT license; the repository includes abo_window_focal_test.py, the script implementing the ABO focal-window comparison reported here. The final archived release will be assigned a persistent DOI before acceptance. Raw-file SHA-256 checksums and all analysis parameters are included in analysis_provenance.json and ancient_abo_provenance.json.</w:t>
      </w:r>
    </w:p>
    <w:p>
      <w:pPr>
        <w:pStyle w:val="Heading2"/>
      </w:pPr>
      <w:r>
        <w:t>Benefit-Sharing Statement</w:t>
      </w:r>
    </w:p>
    <w:p>
      <w:r>
        <w:t>No direct benefit-sharing activity, community co-design, or return-of-results process was conducted in this secondary analysis. The study used previously published public genomic resources. Results were interpreted without assigning migration routes or community-level conclusions, and Indigenous genomic data were reported with consideration of the CARE Principles.</w:t>
      </w:r>
    </w:p>
    <w:p>
      <w:pPr>
        <w:pStyle w:val="Heading1"/>
      </w:pPr>
      <w:r>
        <w:t>Author Contributions</w:t>
      </w:r>
    </w:p>
    <w:p>
      <w:r>
        <w:t>The author was responsible for conceptualization, methodology, formal analysis, visualization, writing—original draft, and writing—review and editing.</w:t>
      </w:r>
    </w:p>
    <w:p>
      <w:pPr>
        <w:pStyle w:val="Heading1"/>
      </w:pPr>
      <w:r>
        <w:t>Declaration of generative AI use</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pStyle w:val="Heading1"/>
      </w:pPr>
      <w:r>
        <w:t>Figure Legends</w:t>
      </w:r>
    </w:p>
    <w:p>
      <w:pPr>
        <w:spacing w:line="360" w:lineRule="auto" w:after="160"/>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spacing w:line="360" w:lineRule="auto" w:after="160"/>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line="360" w:lineRule="auto" w:after="160"/>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spacing w:line="360" w:lineRule="auto" w:after="160"/>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line="360" w:lineRule="auto" w:after="160"/>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Sensitivity of the descriptive Neanderthal distance correlation to exclusion of designated recently admixed populations.</w:t>
      </w:r>
    </w:p>
    <w:p>
      <w:pPr>
        <w:spacing w:line="360" w:lineRule="auto" w:after="160"/>
      </w:pPr>
      <w:r>
        <w:rPr>
          <w:b/>
        </w:rPr>
        <w:t xml:space="preserve">Figure S3. </w:t>
      </w:r>
      <w:r>
        <w:t>Descriptive geographic distance correlations at 250-kb, 500-kb, and 1-Mb window sizes. QAP results are tabulated in Supplementary Data.</w:t>
      </w:r>
    </w:p>
    <w:p>
      <w:pPr>
        <w:spacing w:line="360" w:lineRule="auto" w:after="160"/>
      </w:pPr>
      <w:r>
        <w:rPr>
          <w:b/>
        </w:rPr>
        <w:t xml:space="preserve">Figure S4.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S5.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S6. </w:t>
      </w:r>
      <w:r>
        <w:t>Descriptive ancient and modern ABO-window summaries generated by different pipelines; no formal temporal comparison is made.</w:t>
      </w:r>
    </w:p>
    <w:p>
      <w:pPr>
        <w:spacing w:line="360" w:lineRule="auto" w:after="160"/>
      </w:pPr>
      <w:r>
        <w:rPr>
          <w:b/>
        </w:rPr>
        <w:t xml:space="preserve">Figure S7.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