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 defines the null expectation for pairwise genomic similarity: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Sensitivity of the descriptive Neanderthal distance correlation to exclusion of designated recently admixed populations.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40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_adm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Descriptive geographic distance correlations at 250-kb, 500-kb, and 1-Mb window sizes. QAP results are tabulated in Supplementary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5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indow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Exploratory ABO-centered analysis preserving the historical grouped-bar and segment-map layout. Equal maximum-similarity ties are excluded from the displayed three-reference proportions and retained in Supplementary Data. The Pima segment overlaps ABO; the Maya segment is within the wider interval but does not overlap the gene. Counts are segments, not regional frequencies, and are not interpreted as a migration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2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o_subline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S6.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S7. Bivariate global context computed in this study. Circle area encodes the mean per-bin Neanderthal-segment coverage and colour encodes the mean per-bin Denisovan-segment coverage for each population, both from data/population_profiles_500kb.npz; coordinates are approximate sampling locations from data/population_metadata.csv. These descriptive summaries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2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1"/>
        <w:gridCol w:w="1541"/>
        <w:gridCol w:w="1541"/>
        <w:gridCol w:w="1541"/>
        <w:gridCol w:w="1541"/>
      </w:tblGrid>
      <w:tr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p>
      <w:r>
        <w:br w:type="page"/>
      </w:r>
    </w:p>
    <w:p>
      <w:pPr>
        <w:pStyle w:val="Heading1"/>
      </w:pPr>
      <w:r>
        <w:t>Supplementary File Inventory</w:t>
      </w:r>
    </w:p>
    <w:p>
      <w:r>
        <w:t>The submission contains 5 main figures (Figures 1-5), 7 supplementary figures (Figures S1-S7), 1 main table (Table 1), 1 supplementary table (Table S1), and 10 machine-readable supplementary data files listed below.</w:t>
      </w:r>
    </w:p>
    <w:p>
      <w:r>
        <w:t>Supplementary Data 1: population_metadata.csv. Population, project of origin, sample size, representative latitude and longitude, continental assignment, recent-admixture flag, and inclusion status for each of the 66 analysed populations.</w:t>
      </w:r>
    </w:p>
    <w:p>
      <w:r>
        <w:t>Supplementary Data 2: pairwise_sharing_corrected.csv. All 2,145 population pairs with Neanderthal and Denisovan profile similarity, great-circle distance, covariate indicators, fitted values, residual z scores, permutation P values, and Benjamini-Hochberg q values.</w:t>
      </w:r>
    </w:p>
    <w:p>
      <w:r>
        <w:t>Supplementary Data 3: model_summary.csv. Quadratic assignment procedure coefficients for both ancestries, population-label permutation P values, descriptive R-squared values, and population-deletion intervals.</w:t>
      </w:r>
    </w:p>
    <w:p>
      <w:r>
        <w:t>Supplementary Data 4: sensitivity_analysis.csv. Similarity-metric and population-subset robustness summaries, including the non-admixed subset of 1,891 pairs from 62 populations.</w:t>
      </w:r>
    </w:p>
    <w:p>
      <w:r>
        <w:t>Supplementary Data 5: window_size_sensitivity.csv. Robustness of the population-wide geographic-distance association at 250-kb, 500-kb, and 1-Mb genomic window sizes, reporting for each ancestry the raw distance correlation, the quadratic assignment procedure distance coefficient, the two-sided permutation P value, the descriptive R-squared value, and the number of permutations.</w:t>
      </w:r>
    </w:p>
    <w:p>
      <w:r>
        <w:t>Supplementary Data 6: profile_quality_checks.csv. Ancestry-level profile quality checks reporting the maximum observed population-window frequency, the number of bins exceeding one, and the number of non-zero population-window entries.</w:t>
      </w:r>
    </w:p>
    <w:p>
      <w:r>
        <w:t>Supplementary Data 7: abo_focal_test.json. Prespecified ABO focal-window result: window coordinates, maximum standardised excess similarity, genome-wide percentile, empirical P value, and the number of usable windows for each ancestry.</w:t>
      </w:r>
    </w:p>
    <w:p>
      <w:r>
        <w:t>Supplementary Data 8: ancient_abo_summary.csv. Ancient-individual summaries extracted from the published Neanderthal-segment catalogue for the ABO interval, giving for each of the 59 assessed ancient individuals the age, population, region, closest archaic reference, reference proportions, segment-detection status, and strict ABO gene overlap. These data were generated by a different pipeline from the present-day profiles, are used descriptively only in the Discussion, and are not compared statistically with the present-day data; no analysis result depends on this file.</w:t>
      </w:r>
    </w:p>
    <w:p>
      <w:r>
        <w:t>Supplementary Data 9: ancient_abo_provenance.json. Provenance for the ancient ABO-interval summary, including the source publication and source data DOIs, the GRCh37/hg19 genome build, the ABO gene and window coordinates, the diagnostic-site and genetic-map settings, the source file names with their SHA-256 checksums, and the counts of ancient individuals assessed, with a detected segment, and with strict ABO overlap.</w:t>
      </w:r>
    </w:p>
    <w:p>
      <w:r>
        <w:t>Supplementary Data 10: analysis_provenance.json. Provenance for the committed analysis, including the analysis release, the analysis code commit, the input file names with their SHA-256 checksums, the minimum segment probability and minimum population size, the genomic bin size, the frequency definition, and the final counts of individuals, populations, and population pairs.</w:t>
      </w:r>
    </w:p>
    <w:p>
      <w:r>
        <w:t>The ten files designated Supplementary Data 1-10 are the formal machine-readable supplementary files cited in the article. The accompanying data archive also contains additional derived intermediate and auxiliary files retained to support reproducibility and auditability: it holds 23 files in total under data/, of which the 13 not designated above are intermediate or auxiliary derived files, together with a README_DATA.md documentation file.</w:t>
      </w:r>
    </w:p>
    <w:p>
      <w:r>
        <w:t>Supporting documents: MOLECULAR_ECOLOGY_SUPPORTING_INFORMATION.docx (this file, containing Figures S1-S7 and Table S1), Table_S1_abo_summary.docx (editable supplementary table), and tables_molecol/Table_S1.xlsx (spreadsheet version of Table S1).</w:t>
      </w:r>
    </w:p>
    <w:p>
      <w:r>
        <w:t>Supplementary figure files: figures/Figure_S1 to figures/Figure_S7, each supplied as a 300-dpi PNG and a 300-dpi TIFF.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