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Supporting information (Global Ecology and Biogeography)</w:t>
      </w:r>
    </w:p>
    <w:p>
      <w:r>
        <w:t>**Table S1.** Simulation parameter registry: all scripts (01–06, 13),</w:t>
      </w:r>
    </w:p>
    <w:p>
      <w:r>
        <w:t>site counts, range breadth, occupancy probability, replicate counts</w:t>
      </w:r>
    </w:p>
    <w:p>
      <w:r>
        <w:t>and frozen seed sets 20260920–20260924; null-model definitions;</w:t>
      </w:r>
    </w:p>
    <w:p>
      <w:r>
        <w:t>full seed list.</w:t>
      </w:r>
    </w:p>
    <w:p>
      <w:r>
        <w:t>**Table S2.** Full sweep outputs: sim01 gamma sweep, sim02 dominance</w:t>
      </w:r>
    </w:p>
    <w:p>
      <w:r>
        <w:t>sweep, sim03 lumping levels, sim04 temporal bins, sim06 factorial</w:t>
      </w:r>
    </w:p>
    <w:p>
      <w:r>
        <w:t>grid (CSV exports, unchanged).</w:t>
      </w:r>
    </w:p>
    <w:p>
      <w:r>
        <w:t>**Table S3.** Asymmetric-sampling sweep (sim05): Δβ_obs by sampling</w:t>
      </w:r>
    </w:p>
    <w:p>
      <w:r>
        <w:t>multiplier 1–8×.</w:t>
      </w:r>
    </w:p>
    <w:p>
      <w:r>
        <w:t>**Table S4.** Presence/collection model details: predictor set,</w:t>
      </w:r>
    </w:p>
    <w:p>
      <w:r>
        <w:t>unpenalized pseudo-R² with convergence warning, L2-penalized refits</w:t>
      </w:r>
    </w:p>
    <w:p>
      <w:r>
        <w:t>(C = 0.1, 1, 10) and coefficients.</w:t>
      </w:r>
    </w:p>
    <w:p>
      <w:r>
        <w:t>**Table S5.** Taxonomic mapping: Maidment 2024 guild assignments</w:t>
      </w:r>
    </w:p>
    <w:p>
      <w:r>
        <w:t>(predator/herbivore) and species-to-genus resolution list.</w:t>
      </w:r>
    </w:p>
    <w:p>
      <w:r>
        <w:t>**Table S6.** Nemegt full decomposition including dominant-predator</w:t>
      </w:r>
    </w:p>
    <w:p>
      <w:r>
        <w:t>(Tarbosaurus) diagnostics, downsampling and taphonomic tests.</w:t>
      </w:r>
    </w:p>
    <w:p>
      <w:r>
        <w:t>**Table S7.** False-contrast threshold sensitivity (sim01 arm):</w:t>
      </w:r>
    </w:p>
    <w:p>
      <w:r>
        <w:t>false-contrast rate at |Δβ_obs| &gt; 0.05 / 0.10 / 0.20 for pool sizes</w:t>
      </w:r>
    </w:p>
    <w:p>
      <w:r>
        <w:t>2, 4, 12, 26 (false_contrast_threshold_sensitivity.csv).</w:t>
      </w:r>
    </w:p>
    <w:p>
      <w:r>
        <w:t>**Table S8.** Nonzero-contrast temporal-aggregation scenarios</w:t>
      </w:r>
    </w:p>
    <w:p>
      <w:r>
        <w:t>(sim21): breadth parameters, thin-slice Δβ_true, per-bin Δβ_obs,</w:t>
      </w:r>
    </w:p>
    <w:p>
      <w:r>
        <w:t>attenuation fractions.</w:t>
      </w:r>
    </w:p>
    <w:p>
      <w:r>
        <w:t>**Figure S1.** Asymmetric-sampling effect on Δβ_obs (sim05).</w:t>
      </w:r>
    </w:p>
    <w:p>
      <w:r>
        <w:t>**Figure S2.** Temporal-aggregation curves at alternative bin widths.</w:t>
      </w:r>
    </w:p>
    <w:p>
      <w:r>
        <w:t>**Figure S3.** Morrison occurrence-locality map and collection</w:t>
      </w:r>
    </w:p>
    <w:p>
      <w:r>
        <w:t>environment structure.</w:t>
      </w:r>
    </w:p>
    <w:p>
      <w:r>
        <w:t>**Figure S4.** Presence-model robustness: unpenalized vs L2 fits.</w:t>
      </w:r>
    </w:p>
    <w:p>
      <w:r>
        <w:t>**Figure S5.** Nemegt extended diagnostics (Tarbosaurus).</w:t>
      </w:r>
    </w:p>
    <w:p>
      <w:r>
        <w:t>**Text S1.** Independent evidence audit (INDEPENDENT_EVIDENCE_AUDIT.md):</w:t>
      </w:r>
    </w:p>
    <w:p>
      <w:r>
        <w:t>isotopes, trackways, feeding traces — classifications and citations.</w:t>
      </w:r>
    </w:p>
    <w:p>
      <w:r>
        <w:t>**Table S9.** Two-dimensional robustness simulation details: lattice</w:t>
      </w:r>
    </w:p>
    <w:p>
      <w:r>
        <w:t>geometry, disc-range generation, gamma-pool and temporal arms,</w:t>
      </w:r>
    </w:p>
    <w:p>
      <w:r>
        <w:t>distance-decay slope estimation (binned beta-vs-distance curves).</w:t>
      </w:r>
    </w:p>
    <w:p>
      <w:r>
        <w:t>**Table S10.** Species-resolution analysis: Δβ at genus and species</w:t>
      </w:r>
    </w:p>
    <w:p>
      <w:r>
        <w:t>levels, Allosaurus-exclusion sensitivity, extent residual and</w:t>
      </w:r>
    </w:p>
    <w:p>
      <w:r>
        <w:t>pseudo-R² with convergence status.</w:t>
      </w:r>
    </w:p>
    <w:p>
      <w:r>
        <w:t>**Text S2.** Code provenance: sha256 checksums of raw inputs,</w:t>
      </w:r>
    </w:p>
    <w:p>
      <w:r>
        <w:t>metadata/sources.csv, and the value-level traceability table</w:t>
      </w:r>
    </w:p>
    <w:p>
      <w:r>
        <w:t>(results/manuscript_values.csv).</w:t>
      </w:r>
    </w:p>
    <w:p>
      <w:r>
        <w:t>**Text S3.** Temporal-pooling saturation. For union pooling across k</w:t>
      </w:r>
    </w:p>
    <w:p>
      <w:r>
        <w:t>time slices with per-slice presence probability p, pooled presence is</w:t>
      </w:r>
    </w:p>
    <w:p>
      <w:r>
        <w:t>1 − (1 − p)^k; widespread taxa saturate first, so aggregation distorts</w:t>
      </w:r>
    </w:p>
    <w:p>
      <w:r>
        <w:t>measured turnover asymmetrically depending on whether the contrast's</w:t>
      </w:r>
    </w:p>
    <w:p>
      <w:r>
        <w:t>provenance is structural or ecological.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