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Structural asymmetries distort guild-level beta-diversity contrasts</w:t>
      </w:r>
    </w:p>
    <w:p>
      <w:r>
        <w:t>Article type: Research article (methodological).</w:t>
      </w:r>
    </w:p>
    <w:p>
      <w:r>
        <w:t>Running head: Structural bias in beta-diversity contrasts</w:t>
      </w:r>
    </w:p>
    <w:p>
      <w:r>
        <w:t>Word count (main text incl. references): see submission system metadata.</w:t>
      </w:r>
    </w:p>
    <w:p>
      <w:r>
        <w:t>Corresponding author: Tatsuki Onishi</w:t>
      </w:r>
    </w:p>
    <w:p/>
    <w:p>
      <w:r>
        <w:t>Data availability statement:</w:t>
      </w:r>
    </w:p>
    <w:p>
      <w:r>
        <w:t>All empirical data are public: Morrison Formation occurrences from Maidment et al. (2024), Dryad DOI 10.5061/dryad.6m905qg77 (CC0); Nemegt Formation occurrences from the Paleobiology Database. Simulation code, frozen seeds and the value-level traceability table (manuscript_values.csv) are provided with the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