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Assemblage structure distorts beta diversity and distance decay</w:t>
      </w:r>
    </w:p>
    <w:p>
      <w:r>
        <w:t>Full title: Assemblage structure distorts beta diversity and distance</w:t>
      </w:r>
    </w:p>
    <w:p>
      <w:r>
        <w:t>decay</w:t>
      </w:r>
    </w:p>
    <w:p>
      <w:r>
        <w:t>Running title: Bias in spatial turnover inference</w:t>
      </w:r>
    </w:p>
    <w:p>
      <w:r>
        <w:t>Article type: Research Article</w:t>
      </w:r>
    </w:p>
    <w:p>
      <w:r>
        <w:t>Author(s): Tatsuki Onishi — [affiliation to be confirmed at submission]</w:t>
      </w:r>
    </w:p>
    <w:p>
      <w:r>
        <w:t>Corresponding author: Tatsuki Onishi — [email; ORCID to be added]</w:t>
      </w:r>
    </w:p>
    <w:p>
      <w:r>
        <w:t>Acknowledgements: The author gratefully acknowledges Robert T.</w:t>
      </w:r>
    </w:p>
    <w:p>
      <w:r>
        <w:t>Bakker, whose writings on dinosaur palaeobiology first inspired the</w:t>
      </w:r>
    </w:p>
    <w:p>
      <w:r>
        <w:t>author's interest in dinosaurs during his school years. His pioneering</w:t>
      </w:r>
    </w:p>
    <w:p>
      <w:r>
        <w:t>use of ecological patterns to infer aspects of dinosaur biology</w:t>
      </w:r>
    </w:p>
    <w:p>
      <w:r>
        <w:t>provided a lasting intellectual influence and helped inspire the</w:t>
      </w:r>
    </w:p>
    <w:p>
      <w:r>
        <w:t>questions revisited here from the perspective of spatial and community</w:t>
      </w:r>
    </w:p>
    <w:p>
      <w:r>
        <w:t>ecology.</w:t>
      </w:r>
    </w:p>
    <w:p>
      <w:r>
        <w:t>Conflict of interest: The author declares no conflict of interest.</w:t>
      </w:r>
    </w:p>
    <w:p>
      <w:r>
        <w:t>Funding: No external funding was received for this work.</w:t>
      </w:r>
    </w:p>
    <w:p>
      <w:r>
        <w:t>Author contributions (sole author): Tatsuki Onishi —</w:t>
      </w:r>
    </w:p>
    <w:p>
      <w:r>
        <w:t>Conceptualization; Methodology; Software; Formal analysis;</w:t>
      </w:r>
    </w:p>
    <w:p>
      <w:r>
        <w:t>Investigation; Data curation; Visualization; Writing – original draft;</w:t>
      </w:r>
    </w:p>
    <w:p>
      <w:r>
        <w:t>Writing – review &amp; editing.</w:t>
      </w:r>
    </w:p>
    <w:p>
      <w:r>
        <w:t>Data Accessibility Statement: All occurrence data used in this study</w:t>
      </w:r>
    </w:p>
    <w:p>
      <w:r>
        <w:t>derive from publicly available sources: the Morrison Formation dataset</w:t>
      </w:r>
    </w:p>
    <w:p>
      <w:r>
        <w:t>of Maidment et al. (2024), archived in Dryad at</w:t>
      </w:r>
    </w:p>
    <w:p>
      <w:r>
        <w:t>https://doi.org/10.5061/dryad.6m905qg77, and occurrence records from the</w:t>
      </w:r>
    </w:p>
    <w:p>
      <w:r>
        <w:t>Paleobiology Database at https://paleobiodb.org/. The complete</w:t>
      </w:r>
    </w:p>
    <w:p>
      <w:r>
        <w:t>simulation and analysis code, frozen random seeds, provenance records,</w:t>
      </w:r>
    </w:p>
    <w:p>
      <w:r>
        <w:t>and value-level numerical registry are publicly available at</w:t>
      </w:r>
    </w:p>
    <w:p>
      <w:r>
        <w:t>https://github.com/bougtoir/dinosaur-migration-foodweb. The repository</w:t>
      </w:r>
    </w:p>
    <w:p>
      <w:r>
        <w:t>includes metadata/sources.csv,</w:t>
      </w:r>
    </w:p>
    <w:p>
      <w:r>
        <w:t>methodological_beta_bias/results/manuscript_values.csv, the</w:t>
      </w:r>
    </w:p>
    <w:p>
      <w:r>
        <w:t>independent-evidence audit</w:t>
      </w:r>
    </w:p>
    <w:p>
      <w:r>
        <w:t>(methodological_beta_bias/INDEPENDENT_EVIDENCE_AUDIT.md), and the</w:t>
      </w:r>
    </w:p>
    <w:p>
      <w:r>
        <w:t>scripts required to reproduce the analyses and figures reported in the</w:t>
      </w:r>
    </w:p>
    <w:p>
      <w:r>
        <w:t>manuscript.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