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— Global Ecology and Biogeography</w:t>
      </w:r>
    </w:p>
    <w:p>
      <w:r>
        <w:t>Dear Editors,</w:t>
      </w:r>
    </w:p>
    <w:p>
      <w:r>
        <w:t>We submit our manuscript "Structural asymmetries distort guild-level</w:t>
      </w:r>
    </w:p>
    <w:p>
      <w:r>
        <w:t>beta-diversity contrasts" for consideration as a Research Article in</w:t>
      </w:r>
    </w:p>
    <w:p>
      <w:r>
        <w:t>Global Ecology and Biogeography.</w:t>
      </w:r>
    </w:p>
    <w:p>
      <w:r>
        <w:t>Beta diversity and distance decay are core instruments of</w:t>
      </w:r>
    </w:p>
    <w:p>
      <w:r>
        <w:t>macroecology and biogeography, yet comparative studies routinely</w:t>
      </w:r>
    </w:p>
    <w:p>
      <w:r>
        <w:t>contrast assemblages whose construction differs — in regional pool</w:t>
      </w:r>
    </w:p>
    <w:p>
      <w:r>
        <w:t>size, dominance, taxonomic grain, temporal integration and sampling</w:t>
      </w:r>
    </w:p>
    <w:p>
      <w:r>
        <w:t>effort. Using controlled simulations in which the generative guild</w:t>
      </w:r>
    </w:p>
    <w:p>
      <w:r>
        <w:t>contrast is known, we quantify how large purely structural contrasts</w:t>
      </w:r>
    </w:p>
    <w:p>
      <w:r>
        <w:t>can become, on one- and two-dimensional spatial layouts, and we show</w:t>
      </w:r>
    </w:p>
    <w:p>
      <w:r>
        <w:t>that the same asymmetries distort not only mean turnover but the</w:t>
      </w:r>
    </w:p>
    <w:p>
      <w:r>
        <w:t>slope of distance-decay relationships themselves. Temporal</w:t>
      </w:r>
    </w:p>
    <w:p>
      <w:r>
        <w:t>aggregation proves source-dependent rather than simply attenuating:</w:t>
      </w:r>
    </w:p>
    <w:p>
      <w:r>
        <w:t>it erased structurally generated contrasts while amplifying</w:t>
      </w:r>
    </w:p>
    <w:p>
      <w:r>
        <w:t>ecological contrasts generated by range breadths approximately</w:t>
      </w:r>
    </w:p>
    <w:p>
      <w:r>
        <w:t>four-fold. An empirical stress test on Late Jurassic dinosaur</w:t>
      </w:r>
    </w:p>
    <w:p>
      <w:r>
        <w:t>assemblages demonstrates the diagnostic cascade in practice, and the</w:t>
      </w:r>
    </w:p>
    <w:p>
      <w:r>
        <w:t>same logic conceptually extends to museum collections, herbarium</w:t>
      </w:r>
    </w:p>
    <w:p>
      <w:r>
        <w:t>records, pooled monitoring data and other aggregated occurrence</w:t>
      </w:r>
    </w:p>
    <w:p>
      <w:r>
        <w:t>compilations. We close with a practical diagnostic workflow intended</w:t>
      </w:r>
    </w:p>
    <w:p>
      <w:r>
        <w:t>to precede ecological interpretation of guild-level turnover</w:t>
      </w:r>
    </w:p>
    <w:p>
      <w:r>
        <w:t>contrasts.</w:t>
      </w:r>
    </w:p>
    <w:p>
      <w:r>
        <w:t>The manuscript contains no identifying information in the blinded</w:t>
      </w:r>
    </w:p>
    <w:p>
      <w:r>
        <w:t>main text; identified materials (title page, acknowledgements) are</w:t>
      </w:r>
    </w:p>
    <w:p>
      <w:r>
        <w:t>provided separately. All data derive from public sources and all</w:t>
      </w:r>
    </w:p>
    <w:p>
      <w:r>
        <w:t>code, frozen seeds and value-level traceability are documented in</w:t>
      </w:r>
    </w:p>
    <w:p>
      <w:r>
        <w:t>the data and code availability statement.</w:t>
      </w:r>
    </w:p>
    <w:p>
      <w:r>
        <w:t>Sincerely,</w:t>
      </w:r>
    </w:p>
    <w:p>
      <w:r>
        <w:t>Tatsuki Onishi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