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 — identified version (not for blinded review)</w:t>
      </w:r>
    </w:p>
    <w:p>
      <w:r>
        <w:t>Full title: Structural asymmetries distort guild-level beta-diversity</w:t>
      </w:r>
    </w:p>
    <w:p>
      <w:r>
        <w:t>contrasts</w:t>
      </w:r>
    </w:p>
    <w:p>
      <w:r>
        <w:t>Running head: Structural bias in guild beta diversity</w:t>
      </w:r>
    </w:p>
    <w:p>
      <w:r>
        <w:t>Article type: Research Article</w:t>
      </w:r>
    </w:p>
    <w:p>
      <w:r>
        <w:t>Author(s): Tatsuki Onishi — [affiliation to be confirmed at submission]</w:t>
      </w:r>
    </w:p>
    <w:p>
      <w:r>
        <w:t>Corresponding author: Tatsuki Onishi — [email; ORCID to be added]</w:t>
      </w:r>
    </w:p>
    <w:p>
      <w:r>
        <w:t>Acknowledgements: The author gratefully acknowledges Robert T.</w:t>
      </w:r>
    </w:p>
    <w:p>
      <w:r>
        <w:t>Bakker, whose writings on dinosaur palaeobiology first inspired the</w:t>
      </w:r>
    </w:p>
    <w:p>
      <w:r>
        <w:t>author's interest in dinosaurs during his school years. His pioneering</w:t>
      </w:r>
    </w:p>
    <w:p>
      <w:r>
        <w:t>use of ecological patterns to infer aspects of dinosaur biology</w:t>
      </w:r>
    </w:p>
    <w:p>
      <w:r>
        <w:t>provided a lasting intellectual influence and helped inspire the</w:t>
      </w:r>
    </w:p>
    <w:p>
      <w:r>
        <w:t>questions revisited here from the perspective of spatial and community</w:t>
      </w:r>
    </w:p>
    <w:p>
      <w:r>
        <w:t>ecology.</w:t>
      </w:r>
    </w:p>
    <w:p>
      <w:r>
        <w:t>Conflict of interest: The author declares no conflict of interest.</w:t>
      </w:r>
    </w:p>
    <w:p>
      <w:r>
        <w:t>Funding: No external funding was received for this work.</w:t>
      </w:r>
    </w:p>
    <w:p>
      <w:r>
        <w:t>Author contributions: [sole-author statement to be finalized at</w:t>
      </w:r>
    </w:p>
    <w:p>
      <w:r>
        <w:t>submission]</w:t>
      </w:r>
    </w:p>
    <w:p>
      <w:r>
        <w:t>Data availability: see GEB_data_code_statement_final.md.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