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 Global Ecology and Biogeography</w:t>
      </w:r>
    </w:p>
    <w:p>
      <w:r>
        <w:t>Dear Editor,</w:t>
      </w:r>
    </w:p>
    <w:p/>
    <w:p>
      <w:r>
        <w:t>We submit for consideration in Global Ecology and Biogeography the manuscript “Structural asymmetries distort guild-level beta-diversity contrasts”, a methodological study of a general problem in comparative beta-diversity analysis: when guilds or clades differ in the structural properties of their assemblage data — regional pool size, dominance structure, taxonomic resolution, temporal span and sampling intensity — contrasts in measured turnover can arise without any difference in the underlying spatial ecology, or can be distorted in magnitude when one exists.</w:t>
      </w:r>
    </w:p>
    <w:p/>
    <w:p>
      <w:r>
        <w:t>The manuscript makes three contributions. First, controlled simulations with the true guild contrast fixed at zero quantify how large purely structural guild contrasts can become, on both one- and two-dimensional spatial layouts, and identify where false differences and sign reversals arise jointly. Second, a distance-decay analysis shows that structural asymmetry distorts the shape of spatial turnover, not only its mean. Third, an empirical stress test on dinosaur assemblages of the Upper Jurassic Morrison Formation demonstrates the diagnostic cascade in practice: a compelling naive guild contrast (−0.550) is progressively attenuated to −0.020 under structural controls, with the Nemegt Formation as an external comparator.</w:t>
      </w:r>
    </w:p>
    <w:p/>
    <w:p>
      <w:r>
        <w:t>We believe the manuscript fits GEB's scope because the mechanisms quantified are not specific to palaeontology: they apply wherever macroecological inference compares assemblages built under unequal structural conditions, including museum, herbarium and monitoring compilations. The fossil record serves here as an extreme but general case of a broader data problem. All simulations, empirical values, figures and tables are generated from public data (Dryad DOI 10.5061/dryad.6m905qg77 and the Paleobiology Database) and versioned code, with every cited value traceable to a frozen results table.</w:t>
      </w:r>
    </w:p>
    <w:p/>
    <w:p>
      <w:r>
        <w:t>The manuscript is original, is not under consideration elsewhere, and has not been published in whole or in part. All analyses were conducted on openly available data; the methodological workflow is intended to be directly reusable across taxonomic and geographic systems.</w:t>
      </w:r>
    </w:p>
    <w:p/>
    <w:p>
      <w:r>
        <w:t>We look forward to your assessment.</w:t>
      </w:r>
    </w:p>
    <w:p/>
    <w:p>
      <w:r>
        <w:t>Sincerely,</w:t>
      </w:r>
    </w:p>
    <w:p/>
    <w:p>
      <w:r>
        <w:t>Tatsuki Onishi</w:t>
      </w:r>
    </w:p>
    <w:p>
      <w:r>
        <w:t>On behalf of the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