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Dear Editors,</w:t>
      </w:r>
    </w:p>
    <w:p/>
    <w:p>
      <w:r>
        <w:rPr>
          <w:b w:val="0"/>
        </w:rPr>
        <w:t>I submit my original research article, "Human activity timing as building energy flexibility: standard time, daylight saving time, and solar-adaptive scheduling under climate change," for consideration in Energy and Buildings.</w:t>
      </w:r>
    </w:p>
    <w:p/>
    <w:p>
      <w:r>
        <w:rPr>
          <w:b w:val="0"/>
        </w:rPr>
        <w:t>The paper starts from a building-science observation rather than a policy one: heating, cooling and lighting loads are gated by when occupants are present and active, so the temporal placement of activity is itself a flexibility lever — one that buildings already experience twice a year at population scale through daylight saving time. I ask how much energy flexibility this lever actually provides, and — the question I believe matters most for your readers — how much of the apparent benefit is an artifact of thermal-model structure.</w:t>
      </w:r>
    </w:p>
    <w:p/>
    <w:p>
      <w:r>
        <w:rPr>
          <w:b w:val="0"/>
        </w:rPr>
        <w:t>The central result is methodological as much as empirical. In a degree-hour model, which lets load follow the occupancy schedule instantly, DST produces a small heating-saving channel in electrically heated stock. Under a first-order RC model, thermal inertia nearly erases that channel and DST becomes a net cost: the estimated benefit of activity retiming changes sign with the thermal-model assumption alone. For building-flexibility analyses in which occupancy shifts are coupled directly to thermal loads, this structural sensitivity is particularly important.</w:t>
      </w:r>
    </w:p>
    <w:p/>
    <w:p>
      <w:r>
        <w:rPr>
          <w:b w:val="0"/>
        </w:rPr>
        <w:t>Other results are deliberately reported as conditional: the DST effect is approximately energy-neutral on average (Monte Carlo median +0.05%, 95% interval [−0.09, +0.22]), with sign dependent on latitude, heating fuel and AC prevalence; warming flips it to a cost only within a bounded mid-latitude, high-AC band; and solar-adaptive scheduling — an optimized variant keeping civil time invariant — yields at most ~0.5% savings under relaxed constraints and approximately zero under realistic morning-darkness limits. An empirical-weather layer across ten cities and an external benchmark against the DST natural-experiment literature (including an openly reported failure to reproduce the Indiana increase's magnitude) keep the simulation honest about its domain of validity.</w:t>
      </w:r>
    </w:p>
    <w:p/>
    <w:p>
      <w:r>
        <w:rPr>
          <w:b w:val="0"/>
        </w:rPr>
        <w:t>I believe the work fits Energy and Buildings because it quantifies a building-level flexibility channel, shows that its estimated size is conditional on how thermal dynamics are represented, and connects occupant-schedule assumptions to measurable building energy outcomes — with honest benchmarking and full reproducibility (all headline numbers are generated from a traceable values registry, and code and persisted public data accompany the submission).</w:t>
      </w:r>
    </w:p>
    <w:p/>
    <w:p>
      <w:r>
        <w:rPr>
          <w:b w:val="0"/>
        </w:rPr>
        <w:t>The manuscript is original, not under consideration elsewhere, and I approve its submission. Competing interests, funding, CRediT and AI-use declarations are provided in the manuscript.</w:t>
      </w:r>
    </w:p>
    <w:p/>
    <w:p>
      <w:r>
        <w:rPr>
          <w:b w:val="0"/>
        </w:rPr>
        <w:t>Sincerely,</w:t>
      </w:r>
    </w:p>
    <w:p>
      <w:r>
        <w:rPr>
          <w:b w:val="0"/>
        </w:rPr>
        <w:t>Onishi Tatsuki</w:t>
      </w:r>
    </w:p>
    <w:p>
      <w:r>
        <w:rPr>
          <w:b w:val="0"/>
        </w:rPr>
        <w:t>Data Science and AI Innovation Research Promotion Center, Shiga University, Hikone, Japan</w:t>
      </w:r>
    </w:p>
    <w:p>
      <w:r>
        <w:rPr>
          <w:b w:val="0"/>
        </w:rPr>
        <w:t>E-mail: bougtoir@gmail.com; ORCID: 0000-0001-7261-9062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