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r>
        <w:t>Editor-in-Chief</w:t>
        <w:br/>
        <w:t>Journal of Astronomical Telescopes, Instruments, and Systems</w:t>
        <w:br/>
        <w:t>SPIE</w:t>
      </w:r>
    </w:p>
    <w:p>
      <w:r>
        <w:t>Dear Editor,</w:t>
      </w:r>
    </w:p>
    <w:p>
      <w:r>
        <w:t>We submit the manuscript "A training-free, event-driven Poisson likelihood-ratio detector for faint object events in sparse neuromorphic space-imaging streams" for consideration as a regular paper in the Journal of Astronomical Telescopes, Instruments, and Systems.</w:t>
      </w:r>
    </w:p>
    <w:p>
      <w:r>
        <w:t>Event cameras are increasingly used for optical space situational awareness, where the event stream is extremely sparse and dominated by pixel background-activity noise. Existing event denoising filters output heuristic scores whose thresholds must be tuned on labelled data, and several are implemented on voxel grids whose cost does not fall as the stream becomes sparser. We describe a detector that works directly on the asynchronous stream: each pixel's background rate is estimated from its own inter-event intervals, and every event is scored by the Poisson tail probability of the count in a causal spatiotemporal neighbourhood. The output is a probability, so the operating point can be set from a false-alarm budget without labels.</w:t>
      </w:r>
    </w:p>
    <w:p>
      <w:r>
        <w:t>On all 43 labelled recordings of the public Event-Based Space Situational Awareness (EBSSA) dataset, with the published object annotations as ground truth, the detector reaches a mean ROC-AUC of 0.753, statistically indistinguishable from most published unsupervised event filters tuned by the same grouped cross-validation (event bilateral filter 0.801) and below the best of them (YNoise 0.844), and its wall-clock cost falls with the number of events (exponent 0.81) whereas the voxelised form of the same test does not (exponent 0.02), making the event-driven form 322 times faster at one percent of the events. We report supervised networks trained on the same labels as an upper reference and are explicit that the unsupervised detector does not match them nor the best label-tuned heuristic filter; its value lies in requiring no labels and no manually chosen threshold, in self-calibration to a stated false-alarm budget, in a null model that follows directly from the pixel physics of the sensor, and in cost that scales with sparsity, which suits surveys of unexplored fields, new sensors and on-board processing. A zero-knowledge analysis shows that a window stated as an expected background count transfers between the two sensor models of the dataset, and that the same window, handed to YNoise as its time constant without labels, raises that filter from 0.738 to 0.841, close to its label-tuned value on the same recordings.</w:t>
      </w:r>
    </w:p>
    <w:p>
      <w:r>
        <w:t>Disclosure of prior submissions. An earlier and substantially different version of this work was submitted to, and not accepted by, the following journals:</w:t>
      </w:r>
    </w:p>
    <w:p>
      <w:pPr>
        <w:spacing w:after="40"/>
        <w:ind w:left="480"/>
      </w:pPr>
      <w:r>
        <w:t>Journal of Astronomical Telescopes, Instruments, and Systems: submitted 5 June, declined 18 June.</w:t>
      </w:r>
    </w:p>
    <w:p>
      <w:pPr>
        <w:spacing w:after="40"/>
        <w:ind w:left="480"/>
      </w:pPr>
      <w:r>
        <w:t>Measurement: submitted 18 June, declined 19 August.</w:t>
      </w:r>
    </w:p>
    <w:p>
      <w:pPr>
        <w:spacing w:after="40"/>
        <w:ind w:left="480"/>
      </w:pPr>
      <w:r>
        <w:t>Results in Engineering: submitted 20 August, declined 26 August.</w:t>
      </w:r>
    </w:p>
    <w:p>
      <w:pPr>
        <w:spacing w:before="120"/>
      </w:pPr>
      <w:r>
        <w:t>The present manuscript is a material revision rather than a resubmission of that text. Specifically: (1) the earlier Fano-factor statistic and its self-referential evaluation have been removed and are retained only as an ablation; (2) the method has been reformulated as an event-driven Poisson likelihood-ratio test with per-pixel background-rate estimation; (3) the evaluation now covers all 43 labelled EBSSA recordings with grouped cross-validation and paired, multiplicity-adjusted tests against the published object annotations; (4) the comparison includes seven published unsupervised filters, event-driven and voxelised ablations and two supervised networks; and (5) new analyses quantify computational scaling with event sparsity and label-free self-calibration to a false-alarm budget. Every number, table and figure is regenerated by the code in the public repository named in the manuscript.</w:t>
      </w:r>
    </w:p>
    <w:p>
      <w:r>
        <w:t>The manuscript has not been published in a conference proceedings and is not under consideration elsewhere. All authors have approved the submission and declare no conflicts of interest. The use of an AI coding assistant in preparing the code and text is disclosed in the manuscript.</w:t>
      </w:r>
    </w:p>
    <w:p>
      <w:r>
        <w:t>Sincerely,</w:t>
      </w:r>
    </w:p>
    <w:p>
      <w:r>
        <w:rPr>
          <w:i/>
        </w:rPr>
        <w:t>[Corresponding author name, affiliation and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2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