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/>
          <w:b/>
          <w:sz w:val="24"/>
        </w:rPr>
        <w:t>Supplementary Material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Supplementary Table S1. Representative A5 pixel-noise-model parameters used for the simulations in Section 4.3. These values are the default set from the physically realistic DVS pixel model of Graça and Delbrück [18].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Reference dark current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I_dark,ref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0.01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event s⁻¹ pixel⁻¹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Reference temperature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T_ref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°C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Temperature coefficient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0.08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°C⁻¹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Background illuminance sensitivity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β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0.05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lux⁻¹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Effective log-intensity threshold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θ_eff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0.15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log-intensity units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20"/>
        </w:rPr>
        <w:t>Table S1. Representative A5 model parameters.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Supplementary Figure S1. Per-recording Noise Removal Rate comparison across all valid EBSSA recordings for the six evaluated methods.</w:t>
      </w:r>
    </w:p>
    <w:p>
      <w:r>
        <w:drawing>
          <wp:inline xmlns:a="http://schemas.openxmlformats.org/drawingml/2006/main" xmlns:pic="http://schemas.openxmlformats.org/drawingml/2006/picture">
            <wp:extent cx="5029200" cy="1850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_per_recor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09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