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Highlights</w:t>
      </w:r>
    </w:p>
    <w:p>
      <w:pPr>
        <w:pStyle w:val="ListBullet"/>
      </w:pPr>
      <w:r>
        <w:rPr>
          <w:rFonts w:ascii="Times New Roman" w:hAnsi="Times New Roman"/>
          <w:sz w:val="24"/>
        </w:rPr>
        <w:t>Closed-form optimal noise-removal level is derived for event-based sensors.</w:t>
      </w:r>
    </w:p>
    <w:p>
      <w:pPr>
        <w:pStyle w:val="ListBullet"/>
      </w:pPr>
      <w:r>
        <w:rPr>
          <w:rFonts w:ascii="Times New Roman" w:hAnsi="Times New Roman"/>
          <w:sz w:val="24"/>
        </w:rPr>
        <w:t>A five-parameter pixel model (A5) inverts DVS dark-current statistics.</w:t>
      </w:r>
    </w:p>
    <w:p>
      <w:pPr>
        <w:pStyle w:val="ListBullet"/>
      </w:pPr>
      <w:r>
        <w:rPr>
          <w:rFonts w:ascii="Times New Roman" w:hAnsi="Times New Roman"/>
          <w:sz w:val="24"/>
        </w:rPr>
        <w:t>Fano-factor filter reaches ROC-AUC 0.866 while preserving 93.9% of signal.</w:t>
      </w:r>
    </w:p>
    <w:p>
      <w:pPr>
        <w:pStyle w:val="ListBullet"/>
      </w:pPr>
      <w:r>
        <w:rPr>
          <w:rFonts w:ascii="Times New Roman" w:hAnsi="Times New Roman"/>
          <w:sz w:val="24"/>
        </w:rPr>
        <w:t>Six-tier calibration hierarchy closes the loop for operational deployment.</w:t>
      </w:r>
    </w:p>
    <w:p>
      <w:pPr>
        <w:pStyle w:val="ListBullet"/>
      </w:pPr>
      <w:r>
        <w:rPr>
          <w:rFonts w:ascii="Times New Roman" w:hAnsi="Times New Roman"/>
          <w:sz w:val="24"/>
        </w:rPr>
        <w:t>Open pipeline removes 90.3% noise and recovers satellite trajectories from public EBSSA data.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